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0C2" w:rsidRPr="000770C2" w:rsidRDefault="000770C2" w:rsidP="000770C2">
      <w:pPr>
        <w:widowControl/>
        <w:spacing w:before="420" w:after="510" w:line="660" w:lineRule="atLeast"/>
        <w:jc w:val="center"/>
        <w:outlineLvl w:val="0"/>
        <w:rPr>
          <w:rFonts w:ascii="Arial" w:eastAsia="宋体" w:hAnsi="Arial" w:cs="Arial"/>
          <w:kern w:val="36"/>
          <w:sz w:val="48"/>
          <w:szCs w:val="48"/>
        </w:rPr>
      </w:pPr>
      <w:r w:rsidRPr="000770C2">
        <w:rPr>
          <w:rFonts w:ascii="Arial" w:eastAsia="宋体" w:hAnsi="Arial" w:cs="Arial"/>
          <w:kern w:val="36"/>
          <w:sz w:val="48"/>
          <w:szCs w:val="48"/>
        </w:rPr>
        <w:t>《民法典》</w:t>
      </w:r>
      <w:r w:rsidRPr="000770C2">
        <w:rPr>
          <w:rFonts w:ascii="Arial" w:eastAsia="宋体" w:hAnsi="Arial" w:cs="Arial"/>
          <w:kern w:val="36"/>
          <w:sz w:val="48"/>
          <w:szCs w:val="48"/>
        </w:rPr>
        <w:t>49</w:t>
      </w:r>
      <w:r w:rsidRPr="000770C2">
        <w:rPr>
          <w:rFonts w:ascii="Arial" w:eastAsia="宋体" w:hAnsi="Arial" w:cs="Arial"/>
          <w:kern w:val="36"/>
          <w:sz w:val="48"/>
          <w:szCs w:val="48"/>
        </w:rPr>
        <w:t>大亮点梳理</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proofErr w:type="gramStart"/>
      <w:r w:rsidRPr="000770C2">
        <w:rPr>
          <w:rFonts w:ascii="Arial" w:eastAsia="宋体" w:hAnsi="Arial" w:cs="Arial"/>
          <w:spacing w:val="8"/>
          <w:kern w:val="0"/>
          <w:sz w:val="24"/>
          <w:szCs w:val="24"/>
          <w:shd w:val="clear" w:color="auto" w:fill="FFFFFF"/>
        </w:rPr>
        <w:t>一</w:t>
      </w:r>
      <w:proofErr w:type="gramEnd"/>
      <w:r w:rsidRPr="000770C2">
        <w:rPr>
          <w:rFonts w:ascii="Arial" w:eastAsia="宋体" w:hAnsi="Arial" w:cs="Arial"/>
          <w:spacing w:val="8"/>
          <w:kern w:val="0"/>
          <w:sz w:val="24"/>
          <w:szCs w:val="24"/>
          <w:shd w:val="clear" w:color="auto" w:fill="FFFFFF"/>
        </w:rPr>
        <w:t xml:space="preserve">) </w:t>
      </w:r>
      <w:proofErr w:type="gramStart"/>
      <w:r w:rsidRPr="000770C2">
        <w:rPr>
          <w:rFonts w:ascii="Arial" w:eastAsia="宋体" w:hAnsi="Arial" w:cs="Arial"/>
          <w:spacing w:val="8"/>
          <w:kern w:val="0"/>
          <w:sz w:val="24"/>
          <w:szCs w:val="24"/>
          <w:shd w:val="clear" w:color="auto" w:fill="FFFFFF"/>
        </w:rPr>
        <w:t>总则编八大</w:t>
      </w:r>
      <w:proofErr w:type="gramEnd"/>
      <w:r w:rsidRPr="000770C2">
        <w:rPr>
          <w:rFonts w:ascii="Arial" w:eastAsia="宋体" w:hAnsi="Arial" w:cs="Arial"/>
          <w:spacing w:val="8"/>
          <w:kern w:val="0"/>
          <w:sz w:val="24"/>
          <w:szCs w:val="24"/>
          <w:shd w:val="clear" w:color="auto" w:fill="FFFFFF"/>
        </w:rPr>
        <w:t>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总则编亮点即《民法总则》的亮点：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胎儿享有继承权</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涉及遗产继承、接受赠与等胎儿利益保护的，胎儿视为具有民事权利能力。但是胎儿娩出时为死体的，其民事权利能力自始不存在。（第十六条）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八周岁孩子可以</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打酱油</w:t>
      </w:r>
      <w:r w:rsidRPr="000770C2">
        <w:rPr>
          <w:rFonts w:ascii="Arial" w:eastAsia="宋体" w:hAnsi="Arial" w:cs="Arial"/>
          <w:spacing w:val="8"/>
          <w:kern w:val="0"/>
          <w:sz w:val="24"/>
          <w:szCs w:val="24"/>
          <w:shd w:val="clear" w:color="auto" w:fill="FFFFFF"/>
        </w:rPr>
        <w:t>”</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八周岁以上的未成年人为限制民事行为能力人，实施民事法律行为由其法定代理人代理或者经其法定代理人同意、追认，但是可以独立实施纯获利益的民事法律行为或者与其年龄、智力相适应的民事法律行为。（第十九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失能老人须监护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第二十二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基层群众性自治组织法人为特别法人</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居民委员会、村民委员会具有基层群众性自治组织法人资格，可以从事为履行职能所需要的民事活动。未设立村集体经济组织的，村民委员会可以依法代行村集体经济组织的职能。（第一百零一条）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个人信息和网络虚拟财产受保护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自然人的个人信息受法律保护。任何组织和个人需要获取他人个人信息的，应当依法取得并确保信息安全，不得非法收集、使用、加工、传输他人个人信息，不得非法买卖、提供或者公开他人个人信息。（第一百一十一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法律对数据、网络虚拟财产的保护有规定的，依照其规定。（第一百二十七条）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见义勇为非重大过失不承担民事责任</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因保护他人民事权益使自己受到损害的，由侵权人承担民事责任，受益人可以给予适当补偿。没有侵权人、侵权人逃逸或者无力承担民事责任，受害人请求补偿的，受益人应当给予适当补偿。（第一百八十三条）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因自愿实施紧急救助行为造成受助人损害的，救助人不承担民事责任。（第一百八十四条）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7.</w:t>
      </w:r>
      <w:r w:rsidRPr="000770C2">
        <w:rPr>
          <w:rFonts w:ascii="Arial" w:eastAsia="宋体" w:hAnsi="Arial" w:cs="Arial"/>
          <w:spacing w:val="8"/>
          <w:kern w:val="0"/>
          <w:sz w:val="24"/>
          <w:szCs w:val="24"/>
          <w:shd w:val="clear" w:color="auto" w:fill="FFFFFF"/>
        </w:rPr>
        <w:t>诉讼时效延长至三年</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向人民法院请求保护民事权利的诉讼时效期间为三年。法律另有规定的，依照其规定。（第一百八十八条）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8.</w:t>
      </w:r>
      <w:r w:rsidRPr="000770C2">
        <w:rPr>
          <w:rFonts w:ascii="Arial" w:eastAsia="宋体" w:hAnsi="Arial" w:cs="Arial"/>
          <w:spacing w:val="8"/>
          <w:kern w:val="0"/>
          <w:sz w:val="24"/>
          <w:szCs w:val="24"/>
          <w:shd w:val="clear" w:color="auto" w:fill="FFFFFF"/>
        </w:rPr>
        <w:t>未成年人遭性侵，成年后还能起诉</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未成年人遭受性侵害的损害赔偿请求权的诉讼时效期间，自受害人年满十八周岁之日起计算。（第一百九十一条）</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二</w:t>
      </w:r>
      <w:r w:rsidRPr="000770C2">
        <w:rPr>
          <w:rFonts w:ascii="Arial" w:eastAsia="宋体" w:hAnsi="Arial" w:cs="Arial"/>
          <w:spacing w:val="8"/>
          <w:kern w:val="0"/>
          <w:sz w:val="24"/>
          <w:szCs w:val="24"/>
          <w:shd w:val="clear" w:color="auto" w:fill="FFFFFF"/>
        </w:rPr>
        <w:t xml:space="preserve">) </w:t>
      </w:r>
      <w:r w:rsidRPr="000770C2">
        <w:rPr>
          <w:rFonts w:ascii="Arial" w:eastAsia="宋体" w:hAnsi="Arial" w:cs="Arial"/>
          <w:spacing w:val="8"/>
          <w:kern w:val="0"/>
          <w:sz w:val="24"/>
          <w:szCs w:val="24"/>
          <w:shd w:val="clear" w:color="auto" w:fill="FFFFFF"/>
        </w:rPr>
        <w:t>物</w:t>
      </w:r>
      <w:proofErr w:type="gramStart"/>
      <w:r w:rsidRPr="000770C2">
        <w:rPr>
          <w:rFonts w:ascii="Arial" w:eastAsia="宋体" w:hAnsi="Arial" w:cs="Arial"/>
          <w:spacing w:val="8"/>
          <w:kern w:val="0"/>
          <w:sz w:val="24"/>
          <w:szCs w:val="24"/>
          <w:shd w:val="clear" w:color="auto" w:fill="FFFFFF"/>
        </w:rPr>
        <w:t>权编七</w:t>
      </w:r>
      <w:proofErr w:type="gramEnd"/>
      <w:r w:rsidRPr="000770C2">
        <w:rPr>
          <w:rFonts w:ascii="Arial" w:eastAsia="宋体" w:hAnsi="Arial" w:cs="Arial"/>
          <w:spacing w:val="8"/>
          <w:kern w:val="0"/>
          <w:sz w:val="24"/>
          <w:szCs w:val="24"/>
          <w:shd w:val="clear" w:color="auto" w:fill="FFFFFF"/>
        </w:rPr>
        <w:t>大亮点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新设添附制度</w:t>
      </w:r>
    </w:p>
    <w:p w:rsidR="000770C2" w:rsidRPr="000770C2" w:rsidRDefault="000770C2" w:rsidP="000770C2">
      <w:pPr>
        <w:widowControl/>
        <w:jc w:val="left"/>
        <w:rPr>
          <w:rFonts w:ascii="宋体" w:eastAsia="宋体" w:hAnsi="宋体" w:cs="宋体"/>
          <w:kern w:val="0"/>
          <w:sz w:val="24"/>
          <w:szCs w:val="24"/>
        </w:rPr>
      </w:pPr>
      <w:proofErr w:type="gramStart"/>
      <w:r w:rsidRPr="000770C2">
        <w:rPr>
          <w:rFonts w:ascii="Arial" w:eastAsia="宋体" w:hAnsi="Arial" w:cs="Arial"/>
          <w:spacing w:val="8"/>
          <w:kern w:val="0"/>
          <w:sz w:val="24"/>
          <w:szCs w:val="24"/>
          <w:shd w:val="clear" w:color="auto" w:fill="FFFFFF"/>
        </w:rPr>
        <w:lastRenderedPageBreak/>
        <w:t>添附是指</w:t>
      </w:r>
      <w:proofErr w:type="gramEnd"/>
      <w:r w:rsidRPr="000770C2">
        <w:rPr>
          <w:rFonts w:ascii="Arial" w:eastAsia="宋体" w:hAnsi="Arial" w:cs="Arial"/>
          <w:spacing w:val="8"/>
          <w:kern w:val="0"/>
          <w:sz w:val="24"/>
          <w:szCs w:val="24"/>
          <w:shd w:val="clear" w:color="auto" w:fill="FFFFFF"/>
        </w:rPr>
        <w:t>不同所有人的物结合在一起从而形成不可分离的物或者具有新物性质的物。《民法典》规定了加工、附合、混合三种添附形式，如物件加工、材料生产、房屋增建、房屋装修等。（第三百二十二条）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三权分置</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土地经营权来了</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以适应</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三权分置</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后土地经营权入市的需要，《民法典》物</w:t>
      </w:r>
      <w:proofErr w:type="gramStart"/>
      <w:r w:rsidRPr="000770C2">
        <w:rPr>
          <w:rFonts w:ascii="Arial" w:eastAsia="宋体" w:hAnsi="Arial" w:cs="Arial"/>
          <w:spacing w:val="8"/>
          <w:kern w:val="0"/>
          <w:sz w:val="24"/>
          <w:szCs w:val="24"/>
          <w:shd w:val="clear" w:color="auto" w:fill="FFFFFF"/>
        </w:rPr>
        <w:t>权编增加</w:t>
      </w:r>
      <w:proofErr w:type="gramEnd"/>
      <w:r w:rsidRPr="000770C2">
        <w:rPr>
          <w:rFonts w:ascii="Arial" w:eastAsia="宋体" w:hAnsi="Arial" w:cs="Arial"/>
          <w:spacing w:val="8"/>
          <w:kern w:val="0"/>
          <w:sz w:val="24"/>
          <w:szCs w:val="24"/>
          <w:shd w:val="clear" w:color="auto" w:fill="FFFFFF"/>
        </w:rPr>
        <w:t>土地经营权的规定</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并删除耕地使用权不得抵押的规定。</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第三百九十九条、第三百六十一条、第三百六十三条</w:t>
      </w:r>
      <w:r w:rsidRPr="000770C2">
        <w:rPr>
          <w:rFonts w:ascii="Arial" w:eastAsia="宋体" w:hAnsi="Arial" w:cs="Arial"/>
          <w:spacing w:val="8"/>
          <w:kern w:val="0"/>
          <w:sz w:val="24"/>
          <w:szCs w:val="24"/>
          <w:shd w:val="clear" w:color="auto" w:fill="FFFFFF"/>
        </w:rPr>
        <w:t>)</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完善建筑物区分所有权制度</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适当降低业主共同决定事项，特别是使用建筑物及其附属设施维修资金的表决门槛，增加规定紧急情况下使用维修资金的特别程序。（第</w:t>
      </w:r>
      <w:r w:rsidRPr="000770C2">
        <w:rPr>
          <w:rFonts w:ascii="Arial" w:eastAsia="宋体" w:hAnsi="Arial" w:cs="Arial"/>
          <w:spacing w:val="8"/>
          <w:kern w:val="0"/>
          <w:sz w:val="24"/>
          <w:szCs w:val="24"/>
          <w:shd w:val="clear" w:color="auto" w:fill="FFFFFF"/>
        </w:rPr>
        <w:t>278</w:t>
      </w:r>
      <w:r w:rsidRPr="000770C2">
        <w:rPr>
          <w:rFonts w:ascii="Arial" w:eastAsia="宋体" w:hAnsi="Arial" w:cs="Arial"/>
          <w:spacing w:val="8"/>
          <w:kern w:val="0"/>
          <w:sz w:val="24"/>
          <w:szCs w:val="24"/>
          <w:shd w:val="clear" w:color="auto" w:fill="FFFFFF"/>
        </w:rPr>
        <w:t>条、第</w:t>
      </w:r>
      <w:r w:rsidRPr="000770C2">
        <w:rPr>
          <w:rFonts w:ascii="Arial" w:eastAsia="宋体" w:hAnsi="Arial" w:cs="Arial"/>
          <w:spacing w:val="8"/>
          <w:kern w:val="0"/>
          <w:sz w:val="24"/>
          <w:szCs w:val="24"/>
          <w:shd w:val="clear" w:color="auto" w:fill="FFFFFF"/>
        </w:rPr>
        <w:t>281</w:t>
      </w:r>
      <w:r w:rsidRPr="000770C2">
        <w:rPr>
          <w:rFonts w:ascii="Arial" w:eastAsia="宋体" w:hAnsi="Arial" w:cs="Arial"/>
          <w:spacing w:val="8"/>
          <w:kern w:val="0"/>
          <w:sz w:val="24"/>
          <w:szCs w:val="24"/>
          <w:shd w:val="clear" w:color="auto" w:fill="FFFFFF"/>
        </w:rPr>
        <w:t>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细化住宅建设用地使用权的自动续期规则</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民法典》规定了住宅建设用地使用权届满自动续期，有利于保护房屋产权人的合法权益。《物权法》规定使用期限最长七十年，如继续使用需再签订合同，缴纳费用。是否缴纳费用、缴纳多少费用等等问题，《民法典》授权单行法律和行政法规以后规定。（第三百五十九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居住权入法实现物尽其用</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为加快建立多主体供给、多渠道保障住房制度的要求，增加规定</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居住权</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这一新型用益物权，明确居住权原则上无偿设立，居住权人有权按照合同约定或者遗嘱，经登记占有、使用他人的住宅，以满足其稳定的生活居住需要。（第二编第十四章）</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走向动产质押和权利质押登记制度的统一</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删除了《物权法》中动产质押和权利质押具体登记机构的内容，为今后建立统一的动产质押和权利质押登记制度留下空间。（第四百零二条、第四百二十七条）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7.</w:t>
      </w:r>
      <w:r w:rsidRPr="000770C2">
        <w:rPr>
          <w:rFonts w:ascii="Arial" w:eastAsia="宋体" w:hAnsi="Arial" w:cs="Arial"/>
          <w:spacing w:val="8"/>
          <w:kern w:val="0"/>
          <w:sz w:val="24"/>
          <w:szCs w:val="24"/>
          <w:shd w:val="clear" w:color="auto" w:fill="FFFFFF"/>
        </w:rPr>
        <w:t>扩大担保合同的范围</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优化营商环境提供法治保障，《民法典》在现行物权法规定的基础上，进一步完善了担保物权制度，明确融资租赁、保理、所有权保留等非典型担保合同的担保功能，增加规定担保合同包括抵押合同、质押合同和其他具有担保功能的合同（第三百八十八条第一款）</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三</w:t>
      </w:r>
      <w:r w:rsidRPr="000770C2">
        <w:rPr>
          <w:rFonts w:ascii="Arial" w:eastAsia="宋体" w:hAnsi="Arial" w:cs="Arial"/>
          <w:spacing w:val="8"/>
          <w:kern w:val="0"/>
          <w:sz w:val="24"/>
          <w:szCs w:val="24"/>
          <w:shd w:val="clear" w:color="auto" w:fill="FFFFFF"/>
        </w:rPr>
        <w:t xml:space="preserve">) </w:t>
      </w:r>
      <w:proofErr w:type="gramStart"/>
      <w:r w:rsidRPr="000770C2">
        <w:rPr>
          <w:rFonts w:ascii="Arial" w:eastAsia="宋体" w:hAnsi="Arial" w:cs="Arial"/>
          <w:spacing w:val="8"/>
          <w:kern w:val="0"/>
          <w:sz w:val="24"/>
          <w:szCs w:val="24"/>
          <w:shd w:val="clear" w:color="auto" w:fill="FFFFFF"/>
        </w:rPr>
        <w:t>合同编六大</w:t>
      </w:r>
      <w:proofErr w:type="gramEnd"/>
      <w:r w:rsidRPr="000770C2">
        <w:rPr>
          <w:rFonts w:ascii="Arial" w:eastAsia="宋体" w:hAnsi="Arial" w:cs="Arial"/>
          <w:spacing w:val="8"/>
          <w:kern w:val="0"/>
          <w:sz w:val="24"/>
          <w:szCs w:val="24"/>
          <w:shd w:val="clear" w:color="auto" w:fill="FFFFFF"/>
        </w:rPr>
        <w:t>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电子合同开启无纸化时代</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为了适应电子商务快速发展以及</w:t>
      </w:r>
      <w:proofErr w:type="gramStart"/>
      <w:r w:rsidRPr="000770C2">
        <w:rPr>
          <w:rFonts w:ascii="Arial" w:eastAsia="宋体" w:hAnsi="Arial" w:cs="Arial"/>
          <w:spacing w:val="8"/>
          <w:kern w:val="0"/>
          <w:sz w:val="24"/>
          <w:szCs w:val="24"/>
          <w:shd w:val="clear" w:color="auto" w:fill="FFFFFF"/>
        </w:rPr>
        <w:t>百姓网购需求</w:t>
      </w:r>
      <w:proofErr w:type="gramEnd"/>
      <w:r w:rsidRPr="000770C2">
        <w:rPr>
          <w:rFonts w:ascii="Arial" w:eastAsia="宋体" w:hAnsi="Arial" w:cs="Arial"/>
          <w:spacing w:val="8"/>
          <w:kern w:val="0"/>
          <w:sz w:val="24"/>
          <w:szCs w:val="24"/>
          <w:shd w:val="clear" w:color="auto" w:fill="FFFFFF"/>
        </w:rPr>
        <w:t>的增多，民法典规定，数据电文也具有法律效力，这意味着纸质合同将逐步退出互联网时代。（第五百一十二条）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有理有据，</w:t>
      </w:r>
      <w:proofErr w:type="gramStart"/>
      <w:r w:rsidRPr="000770C2">
        <w:rPr>
          <w:rFonts w:ascii="Arial" w:eastAsia="宋体" w:hAnsi="Arial" w:cs="Arial"/>
          <w:spacing w:val="8"/>
          <w:kern w:val="0"/>
          <w:sz w:val="24"/>
          <w:szCs w:val="24"/>
          <w:shd w:val="clear" w:color="auto" w:fill="FFFFFF"/>
        </w:rPr>
        <w:t>向霸座</w:t>
      </w:r>
      <w:proofErr w:type="gramEnd"/>
      <w:r w:rsidRPr="000770C2">
        <w:rPr>
          <w:rFonts w:ascii="Arial" w:eastAsia="宋体" w:hAnsi="Arial" w:cs="Arial"/>
          <w:spacing w:val="8"/>
          <w:kern w:val="0"/>
          <w:sz w:val="24"/>
          <w:szCs w:val="24"/>
          <w:shd w:val="clear" w:color="auto" w:fill="FFFFFF"/>
        </w:rPr>
        <w:t>者说不</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针对近年来客运合同领域出现的旅客霸座、不配合承运人采取安全措施等严重干扰运输秩序和危害运输安全的问题，民法典细化可客运合同当事人的权利义务。（第八百一十五条第一款、第八百一十九条、第八百二十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对商家的霸王条款</w:t>
      </w:r>
      <w:proofErr w:type="gramStart"/>
      <w:r w:rsidRPr="000770C2">
        <w:rPr>
          <w:rFonts w:ascii="Arial" w:eastAsia="宋体" w:hAnsi="Arial" w:cs="Arial"/>
          <w:spacing w:val="8"/>
          <w:kern w:val="0"/>
          <w:sz w:val="24"/>
          <w:szCs w:val="24"/>
          <w:shd w:val="clear" w:color="auto" w:fill="FFFFFF"/>
        </w:rPr>
        <w:t>”</w:t>
      </w:r>
      <w:proofErr w:type="gramEnd"/>
      <w:r w:rsidRPr="000770C2">
        <w:rPr>
          <w:rFonts w:ascii="Arial" w:eastAsia="宋体" w:hAnsi="Arial" w:cs="Arial"/>
          <w:spacing w:val="8"/>
          <w:kern w:val="0"/>
          <w:sz w:val="24"/>
          <w:szCs w:val="24"/>
          <w:shd w:val="clear" w:color="auto" w:fill="FFFFFF"/>
        </w:rPr>
        <w:t>说</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不</w:t>
      </w:r>
      <w:r w:rsidRPr="000770C2">
        <w:rPr>
          <w:rFonts w:ascii="Arial" w:eastAsia="宋体" w:hAnsi="Arial" w:cs="Arial"/>
          <w:spacing w:val="8"/>
          <w:kern w:val="0"/>
          <w:sz w:val="24"/>
          <w:szCs w:val="24"/>
          <w:shd w:val="clear" w:color="auto" w:fill="FFFFFF"/>
        </w:rPr>
        <w:t>”</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禁止自带酒水</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特价、促销商品概不退换</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民法典完善了格式条款制度。（第四百九十一条、第四百九十五条至第四百九十八条）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物业纠纷不用怕，物业服务合同来维权</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lastRenderedPageBreak/>
        <w:t>针对物业服务领域的突出问题，民法典增加规定物业服务合同，为老百姓解决物业纠纷提供法律依据。（第三编第二十四章）</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借一万、还十万</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w:t>
      </w:r>
      <w:proofErr w:type="gramStart"/>
      <w:r w:rsidRPr="000770C2">
        <w:rPr>
          <w:rFonts w:ascii="Arial" w:eastAsia="宋体" w:hAnsi="Arial" w:cs="Arial"/>
          <w:spacing w:val="8"/>
          <w:kern w:val="0"/>
          <w:sz w:val="24"/>
          <w:szCs w:val="24"/>
          <w:shd w:val="clear" w:color="auto" w:fill="FFFFFF"/>
        </w:rPr>
        <w:t>网贷被</w:t>
      </w:r>
      <w:proofErr w:type="gramEnd"/>
      <w:r w:rsidRPr="000770C2">
        <w:rPr>
          <w:rFonts w:ascii="Arial" w:eastAsia="宋体" w:hAnsi="Arial" w:cs="Arial"/>
          <w:spacing w:val="8"/>
          <w:kern w:val="0"/>
          <w:sz w:val="24"/>
          <w:szCs w:val="24"/>
          <w:shd w:val="clear" w:color="auto" w:fill="FFFFFF"/>
        </w:rPr>
        <w:t>套路不用怕</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针对近年来各界反映强烈的高利贷问题，草案明确规定禁止高利放贷，借款的利率不得违反国家的有关规定。（第六百八十条第一款）</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房子被拍卖，承租者家在何方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落实党中央提出的建立租购同权住房制度的要求，保护承租人的利益，民法典增加规定房屋承租人的优先承租权。（第七百三十四条第二款）此外，为适应我国保理行业发展和优化营商环境的需要，民法典增加了保理合同（第三编第十六章）；为进一步强化对债权人的保护，民法典细化了债权转让、债务转移制度、增加了债务清偿抵充规则、完善了合同解除等合同终止制度（第三编第五章）；在总结现行合同法实践经验的基础上，民法典通过完善检验期限的规定和所有权保留规则等完善了买卖合同（第六百二十二条、第六百二十三条、第六百四十一条至第六百四十三条）；为适应现实需要，民法典吸收了担保法中关于保证和定金规则的规定，增加了保证合同，完善违约责任制度（第三编第十三章、第五百八十六条至第五百八十八条）</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四</w:t>
      </w:r>
      <w:r w:rsidRPr="000770C2">
        <w:rPr>
          <w:rFonts w:ascii="Arial" w:eastAsia="宋体" w:hAnsi="Arial" w:cs="Arial"/>
          <w:spacing w:val="8"/>
          <w:kern w:val="0"/>
          <w:sz w:val="24"/>
          <w:szCs w:val="24"/>
          <w:shd w:val="clear" w:color="auto" w:fill="FFFFFF"/>
        </w:rPr>
        <w:t xml:space="preserve">) </w:t>
      </w:r>
      <w:r w:rsidRPr="000770C2">
        <w:rPr>
          <w:rFonts w:ascii="Arial" w:eastAsia="宋体" w:hAnsi="Arial" w:cs="Arial"/>
          <w:spacing w:val="8"/>
          <w:kern w:val="0"/>
          <w:sz w:val="24"/>
          <w:szCs w:val="24"/>
          <w:shd w:val="clear" w:color="auto" w:fill="FFFFFF"/>
        </w:rPr>
        <w:t>人格</w:t>
      </w:r>
      <w:proofErr w:type="gramStart"/>
      <w:r w:rsidRPr="000770C2">
        <w:rPr>
          <w:rFonts w:ascii="Arial" w:eastAsia="宋体" w:hAnsi="Arial" w:cs="Arial"/>
          <w:spacing w:val="8"/>
          <w:kern w:val="0"/>
          <w:sz w:val="24"/>
          <w:szCs w:val="24"/>
          <w:shd w:val="clear" w:color="auto" w:fill="FFFFFF"/>
        </w:rPr>
        <w:t>权编七</w:t>
      </w:r>
      <w:proofErr w:type="gramEnd"/>
      <w:r w:rsidRPr="000770C2">
        <w:rPr>
          <w:rFonts w:ascii="Arial" w:eastAsia="宋体" w:hAnsi="Arial" w:cs="Arial"/>
          <w:spacing w:val="8"/>
          <w:kern w:val="0"/>
          <w:sz w:val="24"/>
          <w:szCs w:val="24"/>
          <w:shd w:val="clear" w:color="auto" w:fill="FFFFFF"/>
        </w:rPr>
        <w:t>大亮点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人格</w:t>
      </w:r>
      <w:proofErr w:type="gramStart"/>
      <w:r w:rsidRPr="000770C2">
        <w:rPr>
          <w:rFonts w:ascii="Arial" w:eastAsia="宋体" w:hAnsi="Arial" w:cs="Arial"/>
          <w:spacing w:val="8"/>
          <w:kern w:val="0"/>
          <w:sz w:val="24"/>
          <w:szCs w:val="24"/>
          <w:shd w:val="clear" w:color="auto" w:fill="FFFFFF"/>
        </w:rPr>
        <w:t>权独立成编即</w:t>
      </w:r>
      <w:proofErr w:type="gramEnd"/>
      <w:r w:rsidRPr="000770C2">
        <w:rPr>
          <w:rFonts w:ascii="Arial" w:eastAsia="宋体" w:hAnsi="Arial" w:cs="Arial"/>
          <w:spacing w:val="8"/>
          <w:kern w:val="0"/>
          <w:sz w:val="24"/>
          <w:szCs w:val="24"/>
          <w:shd w:val="clear" w:color="auto" w:fill="FFFFFF"/>
        </w:rPr>
        <w:t>是《民法典》的核心亮点，以凸显对人格权的保障。</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确立器官捐献的基本规则</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针对当下组织或个人强迫、欺骗、利诱人体器官捐献现象，此次《民法典》规定完全民事行为能力人同意捐献器官的，应当采用书面形式或者遗嘱形式。自然人生前未表示不同意捐献的，该自然人死亡后，其配偶、成年子女、父母可以共同决定捐献，决定捐献应当采用书面形式。（第一千零六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预防性骚扰：明确机关、企业、学校责任</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近年来，性骚扰成为社会关注的热点话题。有调查显示，该问题常见于企业、学校等单位，而地铁站、公交车上、餐厅等人流密集的公共场所也是性骚扰频发之地。对此，《民法典》规定了性骚扰的认定标准，以及机关、企业、学校等单位防止和制止性骚扰的义务。（第一千零一十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姓名权、名称权的扩张保护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明确对具有一定社会知名度，被他人使用足以造成公众混淆的笔名、艺名、网名等，参照适用姓名权和名称权保护的有关规定。（第一千零一十七条）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禁止非法收集个人信息</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针对利用信息技术手段</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深度伪造</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他人的肖像、声音，侵害他人人格权益，甚至危害社会公共利益等问题，规定禁止任何组织或者个人利用信息技术手段伪造等方式侵害他人的肖像权。（第一千零一十九条）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标题党</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跟风党</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或将承担民事责任</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对行为人实施新闻报道、舆论监督等行为涉及的民事责任承担，以及行为人是否尽到合理核实义务的认定等作了规定（第一千零二十五条、第一千零二十六条）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侵犯隐私权行为具体化</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lastRenderedPageBreak/>
        <w:t>随着信息化时代的发展，侵犯隐私权的手段愈发隐蔽多样，此次《民法典》与时俱进，规定了隐私的定义，列明禁止侵害他人隐私权的具体行为。（第一千零三十二条、第一千零三十三条）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7.</w:t>
      </w:r>
      <w:r w:rsidRPr="000770C2">
        <w:rPr>
          <w:rFonts w:ascii="Arial" w:eastAsia="宋体" w:hAnsi="Arial" w:cs="Arial"/>
          <w:spacing w:val="8"/>
          <w:kern w:val="0"/>
          <w:sz w:val="24"/>
          <w:szCs w:val="24"/>
          <w:shd w:val="clear" w:color="auto" w:fill="FFFFFF"/>
        </w:rPr>
        <w:t>个人信息内涵的开放性</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明确了处理个人信息应遵循的原则和条件，构建自然人与信息处理者之间的基本权利义务框架，合理平衡保护个人信息与维护公共利益之间的关系，规定国家机关及其工作人员负有保护自然人的隐私和个人信息的义务。（第一千零三十四条至第一千零三十九条）</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五</w:t>
      </w:r>
      <w:r w:rsidRPr="000770C2">
        <w:rPr>
          <w:rFonts w:ascii="Arial" w:eastAsia="宋体" w:hAnsi="Arial" w:cs="Arial"/>
          <w:spacing w:val="8"/>
          <w:kern w:val="0"/>
          <w:sz w:val="24"/>
          <w:szCs w:val="24"/>
          <w:shd w:val="clear" w:color="auto" w:fill="FFFFFF"/>
        </w:rPr>
        <w:t xml:space="preserve">) </w:t>
      </w:r>
      <w:r w:rsidRPr="000770C2">
        <w:rPr>
          <w:rFonts w:ascii="Arial" w:eastAsia="宋体" w:hAnsi="Arial" w:cs="Arial"/>
          <w:spacing w:val="8"/>
          <w:kern w:val="0"/>
          <w:sz w:val="24"/>
          <w:szCs w:val="24"/>
          <w:shd w:val="clear" w:color="auto" w:fill="FFFFFF"/>
        </w:rPr>
        <w:t>婚姻</w:t>
      </w:r>
      <w:proofErr w:type="gramStart"/>
      <w:r w:rsidRPr="000770C2">
        <w:rPr>
          <w:rFonts w:ascii="Arial" w:eastAsia="宋体" w:hAnsi="Arial" w:cs="Arial"/>
          <w:spacing w:val="8"/>
          <w:kern w:val="0"/>
          <w:sz w:val="24"/>
          <w:szCs w:val="24"/>
          <w:shd w:val="clear" w:color="auto" w:fill="FFFFFF"/>
        </w:rPr>
        <w:t>家庭编八大</w:t>
      </w:r>
      <w:proofErr w:type="gramEnd"/>
      <w:r w:rsidRPr="000770C2">
        <w:rPr>
          <w:rFonts w:ascii="Arial" w:eastAsia="宋体" w:hAnsi="Arial" w:cs="Arial"/>
          <w:spacing w:val="8"/>
          <w:kern w:val="0"/>
          <w:sz w:val="24"/>
          <w:szCs w:val="24"/>
          <w:shd w:val="clear" w:color="auto" w:fill="FFFFFF"/>
        </w:rPr>
        <w:t>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与国家计划生育政策的调整相协调</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民法典将收养人须无子女的要求修改为收养人无子女或者只有一名子女。（第一千零九十八条第一项）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收养有漏洞，民法典来护航</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为进一步加强对被收养人利益的保护，在收养人条件中增加</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无不利于被收养人健康成长的违法犯罪记录</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。（第一千零九十八条第四项）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离婚太冲动，</w:t>
      </w:r>
      <w:r w:rsidRPr="000770C2">
        <w:rPr>
          <w:rFonts w:ascii="Arial" w:eastAsia="宋体" w:hAnsi="Arial" w:cs="Arial"/>
          <w:spacing w:val="8"/>
          <w:kern w:val="0"/>
          <w:sz w:val="24"/>
          <w:szCs w:val="24"/>
          <w:shd w:val="clear" w:color="auto" w:fill="FFFFFF"/>
        </w:rPr>
        <w:t>30</w:t>
      </w:r>
      <w:r w:rsidRPr="000770C2">
        <w:rPr>
          <w:rFonts w:ascii="Arial" w:eastAsia="宋体" w:hAnsi="Arial" w:cs="Arial"/>
          <w:spacing w:val="8"/>
          <w:kern w:val="0"/>
          <w:sz w:val="24"/>
          <w:szCs w:val="24"/>
          <w:shd w:val="clear" w:color="auto" w:fill="FFFFFF"/>
        </w:rPr>
        <w:t>天内可撤回</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为减少</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头脑发热</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式离婚，民法典规定了提交离婚登记申请后三十日的离婚冷静期，在此期间，任何一方可以向登记机关撤回离婚申请。</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想离婚又多了一条路径</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针对离婚诉讼中出现的</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久调不判</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的现象，民法典规定，经人民法院判决不准离婚后，双方又分居满一年，一方再次一起离婚诉讼的，应当准予离婚，</w:t>
      </w:r>
      <w:proofErr w:type="gramStart"/>
      <w:r w:rsidRPr="000770C2">
        <w:rPr>
          <w:rFonts w:ascii="Arial" w:eastAsia="宋体" w:hAnsi="Arial" w:cs="Arial"/>
          <w:spacing w:val="8"/>
          <w:kern w:val="0"/>
          <w:sz w:val="24"/>
          <w:szCs w:val="24"/>
          <w:shd w:val="clear" w:color="auto" w:fill="FFFFFF"/>
        </w:rPr>
        <w:t>还对方</w:t>
      </w:r>
      <w:proofErr w:type="gramEnd"/>
      <w:r w:rsidRPr="000770C2">
        <w:rPr>
          <w:rFonts w:ascii="Arial" w:eastAsia="宋体" w:hAnsi="Arial" w:cs="Arial"/>
          <w:spacing w:val="8"/>
          <w:kern w:val="0"/>
          <w:sz w:val="24"/>
          <w:szCs w:val="24"/>
          <w:shd w:val="clear" w:color="auto" w:fill="FFFFFF"/>
        </w:rPr>
        <w:t>一份自由。</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疾病作为婚姻无效的事由被删除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民法典不再将</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患有医学上认为不应当结婚的疾病</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作为禁止结婚的情形，而是规定一方隐瞒重大疾病的，另一方可以向人民法院请求撤销婚姻，并且有权请求损害赔偿。（第一千零五十三条、第一千零五十四条）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离婚负债多，法律来辨析</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根据社会发展需要，民法典明确夫妻共同债务的范围，夫妻一方在婚姻关系存续期间以个人名义超出家庭日常生活需要所负的债务，不属于夫妻共同债务；但是，债权人能够证明该债务用于夫妻共同生活、共同生产经营或者基于夫妻双方共同意思表示的除外。（第一千零六十四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7.</w:t>
      </w:r>
      <w:r w:rsidRPr="000770C2">
        <w:rPr>
          <w:rFonts w:ascii="Arial" w:eastAsia="宋体" w:hAnsi="Arial" w:cs="Arial"/>
          <w:spacing w:val="8"/>
          <w:kern w:val="0"/>
          <w:sz w:val="24"/>
          <w:szCs w:val="24"/>
          <w:shd w:val="clear" w:color="auto" w:fill="FFFFFF"/>
        </w:rPr>
        <w:t>离婚案件中二周岁以下子女抚养权不再有争议</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民法典将现行婚姻法规定的</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哺乳期内的子女，以随哺乳的母亲为原则</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修改为</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不满两周岁的子女，由母亲直接抚养为原则</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，以增强可操作性。</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8.</w:t>
      </w:r>
      <w:r w:rsidRPr="000770C2">
        <w:rPr>
          <w:rFonts w:ascii="Arial" w:eastAsia="宋体" w:hAnsi="Arial" w:cs="Arial"/>
          <w:spacing w:val="8"/>
          <w:kern w:val="0"/>
          <w:sz w:val="24"/>
          <w:szCs w:val="24"/>
          <w:shd w:val="clear" w:color="auto" w:fill="FFFFFF"/>
        </w:rPr>
        <w:t>规范亲子关系确认和否认之诉</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对亲子关系有异议且有正当理由的，</w:t>
      </w:r>
      <w:proofErr w:type="gramStart"/>
      <w:r w:rsidRPr="000770C2">
        <w:rPr>
          <w:rFonts w:ascii="Arial" w:eastAsia="宋体" w:hAnsi="Arial" w:cs="Arial"/>
          <w:spacing w:val="8"/>
          <w:kern w:val="0"/>
          <w:sz w:val="24"/>
          <w:szCs w:val="24"/>
          <w:shd w:val="clear" w:color="auto" w:fill="FFFFFF"/>
        </w:rPr>
        <w:t>父或者母</w:t>
      </w:r>
      <w:proofErr w:type="gramEnd"/>
      <w:r w:rsidRPr="000770C2">
        <w:rPr>
          <w:rFonts w:ascii="Arial" w:eastAsia="宋体" w:hAnsi="Arial" w:cs="Arial"/>
          <w:spacing w:val="8"/>
          <w:kern w:val="0"/>
          <w:sz w:val="24"/>
          <w:szCs w:val="24"/>
          <w:shd w:val="clear" w:color="auto" w:fill="FFFFFF"/>
        </w:rPr>
        <w:t>可以向人民法院提起诉讼，请求确认亲子关系。（第一千零七十三条）</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六</w:t>
      </w:r>
      <w:r w:rsidRPr="000770C2">
        <w:rPr>
          <w:rFonts w:ascii="Arial" w:eastAsia="宋体" w:hAnsi="Arial" w:cs="Arial"/>
          <w:spacing w:val="8"/>
          <w:kern w:val="0"/>
          <w:sz w:val="24"/>
          <w:szCs w:val="24"/>
          <w:shd w:val="clear" w:color="auto" w:fill="FFFFFF"/>
        </w:rPr>
        <w:t xml:space="preserve">) </w:t>
      </w:r>
      <w:proofErr w:type="gramStart"/>
      <w:r w:rsidRPr="000770C2">
        <w:rPr>
          <w:rFonts w:ascii="Arial" w:eastAsia="宋体" w:hAnsi="Arial" w:cs="Arial"/>
          <w:spacing w:val="8"/>
          <w:kern w:val="0"/>
          <w:sz w:val="24"/>
          <w:szCs w:val="24"/>
          <w:shd w:val="clear" w:color="auto" w:fill="FFFFFF"/>
        </w:rPr>
        <w:t>继承编六大</w:t>
      </w:r>
      <w:proofErr w:type="gramEnd"/>
      <w:r w:rsidRPr="000770C2">
        <w:rPr>
          <w:rFonts w:ascii="Arial" w:eastAsia="宋体" w:hAnsi="Arial" w:cs="Arial"/>
          <w:spacing w:val="8"/>
          <w:kern w:val="0"/>
          <w:sz w:val="24"/>
          <w:szCs w:val="24"/>
          <w:shd w:val="clear" w:color="auto" w:fill="FFFFFF"/>
        </w:rPr>
        <w:t>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扩大遗产范围</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《民法典》删除此前对遗产的列举，以</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合法的财产</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一言概之，扩大了遗产的范围。随着现代社会的发展，公民财产类型、财产形式日益丰富、增多，虚拟财产等新型财产可纳入遗产范围。（第一千一百二十二条）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丧失继承权受遗赠权可</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失而复得</w:t>
      </w:r>
      <w:r w:rsidRPr="000770C2">
        <w:rPr>
          <w:rFonts w:ascii="Arial" w:eastAsia="宋体" w:hAnsi="Arial" w:cs="Arial"/>
          <w:spacing w:val="8"/>
          <w:kern w:val="0"/>
          <w:sz w:val="24"/>
          <w:szCs w:val="24"/>
          <w:shd w:val="clear" w:color="auto" w:fill="FFFFFF"/>
        </w:rPr>
        <w:t>”</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lastRenderedPageBreak/>
        <w:t>《民法典》新增丧失继承权情形的同时补充规定了宽宥制度。被继承人已知继承人对其实施了相应的违法行为，却愿意对继承人的过错行为予以宽恕，恢复其已丧失的继承权，应对其意愿予以尊重。（第一千一百二十五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扩大法定继承人范围至侄、</w:t>
      </w:r>
      <w:proofErr w:type="gramStart"/>
      <w:r w:rsidRPr="000770C2">
        <w:rPr>
          <w:rFonts w:ascii="Arial" w:eastAsia="宋体" w:hAnsi="Arial" w:cs="Arial"/>
          <w:spacing w:val="8"/>
          <w:kern w:val="0"/>
          <w:sz w:val="24"/>
          <w:szCs w:val="24"/>
          <w:shd w:val="clear" w:color="auto" w:fill="FFFFFF"/>
        </w:rPr>
        <w:t>甥</w:t>
      </w:r>
      <w:proofErr w:type="gramEnd"/>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为了财产更多流转在血亲家族中，而非收归国家，《民法典》将代位继承扩大至被继承人的兄弟姐妹先于被继承人死亡的情形，使得被继承人的侄、</w:t>
      </w:r>
      <w:proofErr w:type="gramStart"/>
      <w:r w:rsidRPr="000770C2">
        <w:rPr>
          <w:rFonts w:ascii="Arial" w:eastAsia="宋体" w:hAnsi="Arial" w:cs="Arial"/>
          <w:spacing w:val="8"/>
          <w:kern w:val="0"/>
          <w:sz w:val="24"/>
          <w:szCs w:val="24"/>
          <w:shd w:val="clear" w:color="auto" w:fill="FFFFFF"/>
        </w:rPr>
        <w:t>甥</w:t>
      </w:r>
      <w:proofErr w:type="gramEnd"/>
      <w:r w:rsidRPr="000770C2">
        <w:rPr>
          <w:rFonts w:ascii="Arial" w:eastAsia="宋体" w:hAnsi="Arial" w:cs="Arial"/>
          <w:spacing w:val="8"/>
          <w:kern w:val="0"/>
          <w:sz w:val="24"/>
          <w:szCs w:val="24"/>
          <w:shd w:val="clear" w:color="auto" w:fill="FFFFFF"/>
        </w:rPr>
        <w:t>获得第二顺位法定继承人资格，突破了原先晚辈直系血亲的限制。（第一千一百二十八条）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增加打印、录像遗嘱新形式</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《民法典》增设了打印遗嘱与录像遗嘱两种法定遗嘱形式。（第一千一百三十六、第一千一百三十七条）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废除公证遗嘱效力优先规则</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为尊重遗嘱人的真实意愿，《民法典》修改了遗嘱效力规则，删除了现行继承法关于公证遗嘱效力优先的规定，以更好保护民法当事人意思自治原则。（第一千一百三十五、第一千一百四十一条）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增加遗产管理</w:t>
      </w:r>
      <w:proofErr w:type="gramStart"/>
      <w:r w:rsidRPr="000770C2">
        <w:rPr>
          <w:rFonts w:ascii="Arial" w:eastAsia="宋体" w:hAnsi="Arial" w:cs="Arial"/>
          <w:spacing w:val="8"/>
          <w:kern w:val="0"/>
          <w:sz w:val="24"/>
          <w:szCs w:val="24"/>
          <w:shd w:val="clear" w:color="auto" w:fill="FFFFFF"/>
        </w:rPr>
        <w:t>人制</w:t>
      </w:r>
      <w:proofErr w:type="gramEnd"/>
      <w:r w:rsidRPr="000770C2">
        <w:rPr>
          <w:rFonts w:ascii="Arial" w:eastAsia="宋体" w:hAnsi="Arial" w:cs="Arial"/>
          <w:spacing w:val="8"/>
          <w:kern w:val="0"/>
          <w:sz w:val="24"/>
          <w:szCs w:val="24"/>
          <w:shd w:val="clear" w:color="auto" w:fill="FFFFFF"/>
        </w:rPr>
        <w:t>度</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为确保遗产得到妥善管理、顺利分割，更好地维护继承人、债权人利益，增加规定了遗产管理</w:t>
      </w:r>
      <w:proofErr w:type="gramStart"/>
      <w:r w:rsidRPr="000770C2">
        <w:rPr>
          <w:rFonts w:ascii="Arial" w:eastAsia="宋体" w:hAnsi="Arial" w:cs="Arial"/>
          <w:spacing w:val="8"/>
          <w:kern w:val="0"/>
          <w:sz w:val="24"/>
          <w:szCs w:val="24"/>
          <w:shd w:val="clear" w:color="auto" w:fill="FFFFFF"/>
        </w:rPr>
        <w:t>人制</w:t>
      </w:r>
      <w:proofErr w:type="gramEnd"/>
      <w:r w:rsidRPr="000770C2">
        <w:rPr>
          <w:rFonts w:ascii="Arial" w:eastAsia="宋体" w:hAnsi="Arial" w:cs="Arial"/>
          <w:spacing w:val="8"/>
          <w:kern w:val="0"/>
          <w:sz w:val="24"/>
          <w:szCs w:val="24"/>
          <w:shd w:val="clear" w:color="auto" w:fill="FFFFFF"/>
        </w:rPr>
        <w:t>度，明确了遗产管理人的产生方式、职责和权利等内容。（第一千一百四十五条）</w:t>
      </w:r>
    </w:p>
    <w:p w:rsidR="000770C2" w:rsidRPr="000770C2" w:rsidRDefault="000770C2" w:rsidP="000770C2">
      <w:pPr>
        <w:widowControl/>
        <w:jc w:val="center"/>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七</w:t>
      </w:r>
      <w:r w:rsidRPr="000770C2">
        <w:rPr>
          <w:rFonts w:ascii="Arial" w:eastAsia="宋体" w:hAnsi="Arial" w:cs="Arial"/>
          <w:spacing w:val="8"/>
          <w:kern w:val="0"/>
          <w:sz w:val="24"/>
          <w:szCs w:val="24"/>
          <w:shd w:val="clear" w:color="auto" w:fill="FFFFFF"/>
        </w:rPr>
        <w:t xml:space="preserve">) </w:t>
      </w:r>
      <w:r w:rsidRPr="000770C2">
        <w:rPr>
          <w:rFonts w:ascii="Arial" w:eastAsia="宋体" w:hAnsi="Arial" w:cs="Arial"/>
          <w:spacing w:val="8"/>
          <w:kern w:val="0"/>
          <w:sz w:val="24"/>
          <w:szCs w:val="24"/>
          <w:shd w:val="clear" w:color="auto" w:fill="FFFFFF"/>
        </w:rPr>
        <w:t>侵权</w:t>
      </w:r>
      <w:proofErr w:type="gramStart"/>
      <w:r w:rsidRPr="000770C2">
        <w:rPr>
          <w:rFonts w:ascii="Arial" w:eastAsia="宋体" w:hAnsi="Arial" w:cs="Arial"/>
          <w:spacing w:val="8"/>
          <w:kern w:val="0"/>
          <w:sz w:val="24"/>
          <w:szCs w:val="24"/>
          <w:shd w:val="clear" w:color="auto" w:fill="FFFFFF"/>
        </w:rPr>
        <w:t>责任编</w:t>
      </w:r>
      <w:bookmarkStart w:id="0" w:name="_GoBack"/>
      <w:bookmarkEnd w:id="0"/>
      <w:r w:rsidRPr="000770C2">
        <w:rPr>
          <w:rFonts w:ascii="Arial" w:eastAsia="宋体" w:hAnsi="Arial" w:cs="Arial"/>
          <w:spacing w:val="8"/>
          <w:kern w:val="0"/>
          <w:sz w:val="24"/>
          <w:szCs w:val="24"/>
          <w:shd w:val="clear" w:color="auto" w:fill="FFFFFF"/>
        </w:rPr>
        <w:t>七大</w:t>
      </w:r>
      <w:proofErr w:type="gramEnd"/>
      <w:r w:rsidRPr="000770C2">
        <w:rPr>
          <w:rFonts w:ascii="Arial" w:eastAsia="宋体" w:hAnsi="Arial" w:cs="Arial"/>
          <w:spacing w:val="8"/>
          <w:kern w:val="0"/>
          <w:sz w:val="24"/>
          <w:szCs w:val="24"/>
          <w:shd w:val="clear" w:color="auto" w:fill="FFFFFF"/>
        </w:rPr>
        <w:t>亮点</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1.</w:t>
      </w:r>
      <w:r w:rsidRPr="000770C2">
        <w:rPr>
          <w:rFonts w:ascii="Arial" w:eastAsia="宋体" w:hAnsi="Arial" w:cs="Arial"/>
          <w:spacing w:val="8"/>
          <w:kern w:val="0"/>
          <w:sz w:val="24"/>
          <w:szCs w:val="24"/>
          <w:shd w:val="clear" w:color="auto" w:fill="FFFFFF"/>
        </w:rPr>
        <w:t>确立</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自甘风险</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规则</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自愿参加具有一定风险的文体活动，因其他参加者的行为受到损害的，受害人不得请求没有故意或者重大过失的其他参加者承担侵权责任。（草案第一千一百七十六条第一款）</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2.</w:t>
      </w:r>
      <w:r w:rsidRPr="000770C2">
        <w:rPr>
          <w:rFonts w:ascii="Arial" w:eastAsia="宋体" w:hAnsi="Arial" w:cs="Arial"/>
          <w:spacing w:val="8"/>
          <w:kern w:val="0"/>
          <w:sz w:val="24"/>
          <w:szCs w:val="24"/>
          <w:shd w:val="clear" w:color="auto" w:fill="FFFFFF"/>
        </w:rPr>
        <w:t>规定</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自助行为</w:t>
      </w:r>
      <w:r w:rsidRPr="000770C2">
        <w:rPr>
          <w:rFonts w:ascii="Arial" w:eastAsia="宋体" w:hAnsi="Arial" w:cs="Arial"/>
          <w:spacing w:val="8"/>
          <w:kern w:val="0"/>
          <w:sz w:val="24"/>
          <w:szCs w:val="24"/>
          <w:shd w:val="clear" w:color="auto" w:fill="FFFFFF"/>
        </w:rPr>
        <w:t>”</w:t>
      </w:r>
      <w:r w:rsidRPr="000770C2">
        <w:rPr>
          <w:rFonts w:ascii="Arial" w:eastAsia="宋体" w:hAnsi="Arial" w:cs="Arial"/>
          <w:spacing w:val="8"/>
          <w:kern w:val="0"/>
          <w:sz w:val="24"/>
          <w:szCs w:val="24"/>
          <w:shd w:val="clear" w:color="auto" w:fill="FFFFFF"/>
        </w:rPr>
        <w:t>制度</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明确合法权益受到侵害，情况紧迫且不能及时获得国家机关保护，</w:t>
      </w:r>
      <w:proofErr w:type="gramStart"/>
      <w:r w:rsidRPr="000770C2">
        <w:rPr>
          <w:rFonts w:ascii="Arial" w:eastAsia="宋体" w:hAnsi="Arial" w:cs="Arial"/>
          <w:spacing w:val="8"/>
          <w:kern w:val="0"/>
          <w:sz w:val="24"/>
          <w:szCs w:val="24"/>
          <w:shd w:val="clear" w:color="auto" w:fill="FFFFFF"/>
        </w:rPr>
        <w:t>不</w:t>
      </w:r>
      <w:proofErr w:type="gramEnd"/>
      <w:r w:rsidRPr="000770C2">
        <w:rPr>
          <w:rFonts w:ascii="Arial" w:eastAsia="宋体" w:hAnsi="Arial" w:cs="Arial"/>
          <w:spacing w:val="8"/>
          <w:kern w:val="0"/>
          <w:sz w:val="24"/>
          <w:szCs w:val="24"/>
          <w:shd w:val="clear" w:color="auto" w:fill="FFFFFF"/>
        </w:rPr>
        <w:t>立即采取措施将使其合法权益受到难以弥补的损害的，受害人可以在保护自己合法权益的必要范围内采取扣留侵权人的财物等合理措施，但是应当立即请求有关国家机关处理。（第一千一百七十七条）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3.</w:t>
      </w:r>
      <w:r w:rsidRPr="000770C2">
        <w:rPr>
          <w:rFonts w:ascii="Arial" w:eastAsia="宋体" w:hAnsi="Arial" w:cs="Arial"/>
          <w:spacing w:val="8"/>
          <w:kern w:val="0"/>
          <w:sz w:val="24"/>
          <w:szCs w:val="24"/>
          <w:shd w:val="clear" w:color="auto" w:fill="FFFFFF"/>
        </w:rPr>
        <w:t>加强对知识产权的保护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故意侵害他人知识产权，情节严重的，被侵权人有权请求相应的惩罚性赔偿。（第一千一百八十五条）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4.</w:t>
      </w:r>
      <w:r w:rsidRPr="000770C2">
        <w:rPr>
          <w:rFonts w:ascii="Arial" w:eastAsia="宋体" w:hAnsi="Arial" w:cs="Arial"/>
          <w:spacing w:val="8"/>
          <w:kern w:val="0"/>
          <w:sz w:val="24"/>
          <w:szCs w:val="24"/>
          <w:shd w:val="clear" w:color="auto" w:fill="FFFFFF"/>
        </w:rPr>
        <w:t>完善生产者、销售者召回缺陷产品的责任</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依照相关规定采取召回措施的，生产者、销售者应当负担被侵权人因此支出的必要费用。（第一千二百零六条第二款）</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5.</w:t>
      </w:r>
      <w:r w:rsidRPr="000770C2">
        <w:rPr>
          <w:rFonts w:ascii="Arial" w:eastAsia="宋体" w:hAnsi="Arial" w:cs="Arial"/>
          <w:spacing w:val="8"/>
          <w:kern w:val="0"/>
          <w:sz w:val="24"/>
          <w:szCs w:val="24"/>
          <w:shd w:val="clear" w:color="auto" w:fill="FFFFFF"/>
        </w:rPr>
        <w:t>规范医患关系与患者隐私保护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进一步保障患者的知情同意权，明确医务人员的相关说明义务，加强医疗机构及其医务人员对患者隐私和个人信息的保护。（第一千二百一十九条、第一千二百二十六条）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6.</w:t>
      </w:r>
      <w:r w:rsidRPr="000770C2">
        <w:rPr>
          <w:rFonts w:ascii="Arial" w:eastAsia="宋体" w:hAnsi="Arial" w:cs="Arial"/>
          <w:spacing w:val="8"/>
          <w:kern w:val="0"/>
          <w:sz w:val="24"/>
          <w:szCs w:val="24"/>
          <w:shd w:val="clear" w:color="auto" w:fill="FFFFFF"/>
        </w:rPr>
        <w:t>加强生态环境保护</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t>规定生态环境损害的惩罚性赔偿制度，并明确规定了生态环境损害的修复和赔偿规则。（第一千二百三十二条、第一千二百三十四条、第一千二百三十五条）</w:t>
      </w:r>
    </w:p>
    <w:p w:rsidR="000770C2" w:rsidRPr="000770C2" w:rsidRDefault="000770C2" w:rsidP="000770C2">
      <w:pPr>
        <w:widowControl/>
        <w:jc w:val="left"/>
        <w:rPr>
          <w:rFonts w:ascii="宋体" w:eastAsia="宋体" w:hAnsi="宋体" w:cs="宋体"/>
          <w:kern w:val="0"/>
          <w:sz w:val="24"/>
          <w:szCs w:val="24"/>
        </w:rPr>
      </w:pPr>
      <w:r w:rsidRPr="000770C2">
        <w:rPr>
          <w:rFonts w:ascii="Arial" w:eastAsia="宋体" w:hAnsi="Arial" w:cs="Arial"/>
          <w:spacing w:val="8"/>
          <w:kern w:val="0"/>
          <w:sz w:val="24"/>
          <w:szCs w:val="24"/>
          <w:shd w:val="clear" w:color="auto" w:fill="FFFFFF"/>
        </w:rPr>
        <w:lastRenderedPageBreak/>
        <w:t>7.</w:t>
      </w:r>
      <w:r w:rsidRPr="000770C2">
        <w:rPr>
          <w:rFonts w:ascii="Arial" w:eastAsia="宋体" w:hAnsi="Arial" w:cs="Arial"/>
          <w:spacing w:val="8"/>
          <w:kern w:val="0"/>
          <w:sz w:val="24"/>
          <w:szCs w:val="24"/>
          <w:shd w:val="clear" w:color="auto" w:fill="FFFFFF"/>
        </w:rPr>
        <w:t>完善高空抛物坠物治理规则</w:t>
      </w:r>
    </w:p>
    <w:p w:rsidR="001C008D" w:rsidRPr="000770C2" w:rsidRDefault="000770C2" w:rsidP="000770C2">
      <w:r w:rsidRPr="000770C2">
        <w:rPr>
          <w:rFonts w:ascii="Arial" w:eastAsia="宋体" w:hAnsi="Arial" w:cs="Arial"/>
          <w:spacing w:val="8"/>
          <w:kern w:val="0"/>
          <w:sz w:val="24"/>
          <w:szCs w:val="24"/>
          <w:shd w:val="clear" w:color="auto" w:fill="FFFFFF"/>
        </w:rPr>
        <w:t>禁止从建筑物中抛掷物品，同时针对此类事件处理的主要困难是行为人难以确定的问题，强调有关机关应当依法及时调查，查清责任人，并规定物业服务企业等建筑物管理人应当采取必要的安全保障措施防止此类行为的发生。（第一千二百五十四条）</w:t>
      </w:r>
    </w:p>
    <w:sectPr w:rsidR="001C008D" w:rsidRPr="000770C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A3F" w:rsidRDefault="00711A3F" w:rsidP="000770C2">
      <w:r>
        <w:separator/>
      </w:r>
    </w:p>
  </w:endnote>
  <w:endnote w:type="continuationSeparator" w:id="0">
    <w:p w:rsidR="00711A3F" w:rsidRDefault="00711A3F" w:rsidP="0007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878940"/>
      <w:docPartObj>
        <w:docPartGallery w:val="Page Numbers (Bottom of Page)"/>
        <w:docPartUnique/>
      </w:docPartObj>
    </w:sdtPr>
    <w:sdtContent>
      <w:p w:rsidR="000770C2" w:rsidRDefault="000770C2" w:rsidP="000770C2">
        <w:pPr>
          <w:pStyle w:val="a4"/>
          <w:jc w:val="center"/>
        </w:pPr>
        <w:r>
          <w:fldChar w:fldCharType="begin"/>
        </w:r>
        <w:r>
          <w:instrText>PAGE   \* MERGEFORMAT</w:instrText>
        </w:r>
        <w:r>
          <w:fldChar w:fldCharType="separate"/>
        </w:r>
        <w:r w:rsidRPr="000770C2">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A3F" w:rsidRDefault="00711A3F" w:rsidP="000770C2">
      <w:r>
        <w:separator/>
      </w:r>
    </w:p>
  </w:footnote>
  <w:footnote w:type="continuationSeparator" w:id="0">
    <w:p w:rsidR="00711A3F" w:rsidRDefault="00711A3F" w:rsidP="00077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0C2"/>
    <w:rsid w:val="000770C2"/>
    <w:rsid w:val="001C008D"/>
    <w:rsid w:val="00711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770C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770C2"/>
    <w:rPr>
      <w:rFonts w:ascii="宋体" w:eastAsia="宋体" w:hAnsi="宋体" w:cs="宋体"/>
      <w:b/>
      <w:bCs/>
      <w:kern w:val="36"/>
      <w:sz w:val="48"/>
      <w:szCs w:val="48"/>
    </w:rPr>
  </w:style>
  <w:style w:type="paragraph" w:styleId="a3">
    <w:name w:val="header"/>
    <w:basedOn w:val="a"/>
    <w:link w:val="Char"/>
    <w:uiPriority w:val="99"/>
    <w:unhideWhenUsed/>
    <w:rsid w:val="00077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70C2"/>
    <w:rPr>
      <w:sz w:val="18"/>
      <w:szCs w:val="18"/>
    </w:rPr>
  </w:style>
  <w:style w:type="paragraph" w:styleId="a4">
    <w:name w:val="footer"/>
    <w:basedOn w:val="a"/>
    <w:link w:val="Char0"/>
    <w:uiPriority w:val="99"/>
    <w:unhideWhenUsed/>
    <w:rsid w:val="000770C2"/>
    <w:pPr>
      <w:tabs>
        <w:tab w:val="center" w:pos="4153"/>
        <w:tab w:val="right" w:pos="8306"/>
      </w:tabs>
      <w:snapToGrid w:val="0"/>
      <w:jc w:val="left"/>
    </w:pPr>
    <w:rPr>
      <w:sz w:val="18"/>
      <w:szCs w:val="18"/>
    </w:rPr>
  </w:style>
  <w:style w:type="character" w:customStyle="1" w:styleId="Char0">
    <w:name w:val="页脚 Char"/>
    <w:basedOn w:val="a0"/>
    <w:link w:val="a4"/>
    <w:uiPriority w:val="99"/>
    <w:rsid w:val="000770C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770C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770C2"/>
    <w:rPr>
      <w:rFonts w:ascii="宋体" w:eastAsia="宋体" w:hAnsi="宋体" w:cs="宋体"/>
      <w:b/>
      <w:bCs/>
      <w:kern w:val="36"/>
      <w:sz w:val="48"/>
      <w:szCs w:val="48"/>
    </w:rPr>
  </w:style>
  <w:style w:type="paragraph" w:styleId="a3">
    <w:name w:val="header"/>
    <w:basedOn w:val="a"/>
    <w:link w:val="Char"/>
    <w:uiPriority w:val="99"/>
    <w:unhideWhenUsed/>
    <w:rsid w:val="00077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70C2"/>
    <w:rPr>
      <w:sz w:val="18"/>
      <w:szCs w:val="18"/>
    </w:rPr>
  </w:style>
  <w:style w:type="paragraph" w:styleId="a4">
    <w:name w:val="footer"/>
    <w:basedOn w:val="a"/>
    <w:link w:val="Char0"/>
    <w:uiPriority w:val="99"/>
    <w:unhideWhenUsed/>
    <w:rsid w:val="000770C2"/>
    <w:pPr>
      <w:tabs>
        <w:tab w:val="center" w:pos="4153"/>
        <w:tab w:val="right" w:pos="8306"/>
      </w:tabs>
      <w:snapToGrid w:val="0"/>
      <w:jc w:val="left"/>
    </w:pPr>
    <w:rPr>
      <w:sz w:val="18"/>
      <w:szCs w:val="18"/>
    </w:rPr>
  </w:style>
  <w:style w:type="character" w:customStyle="1" w:styleId="Char0">
    <w:name w:val="页脚 Char"/>
    <w:basedOn w:val="a0"/>
    <w:link w:val="a4"/>
    <w:uiPriority w:val="99"/>
    <w:rsid w:val="000770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0570">
      <w:bodyDiv w:val="1"/>
      <w:marLeft w:val="0"/>
      <w:marRight w:val="0"/>
      <w:marTop w:val="0"/>
      <w:marBottom w:val="0"/>
      <w:divBdr>
        <w:top w:val="none" w:sz="0" w:space="0" w:color="auto"/>
        <w:left w:val="none" w:sz="0" w:space="0" w:color="auto"/>
        <w:bottom w:val="none" w:sz="0" w:space="0" w:color="auto"/>
        <w:right w:val="none" w:sz="0" w:space="0" w:color="auto"/>
      </w:divBdr>
    </w:div>
    <w:div w:id="183468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794</Words>
  <Characters>4530</Characters>
  <Application>Microsoft Office Word</Application>
  <DocSecurity>0</DocSecurity>
  <Lines>37</Lines>
  <Paragraphs>10</Paragraphs>
  <ScaleCrop>false</ScaleCrop>
  <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张龙燕</cp:lastModifiedBy>
  <cp:revision>1</cp:revision>
  <dcterms:created xsi:type="dcterms:W3CDTF">2020-08-11T07:52:00Z</dcterms:created>
  <dcterms:modified xsi:type="dcterms:W3CDTF">2020-08-11T07:57:00Z</dcterms:modified>
</cp:coreProperties>
</file>