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32"/>
          <w:szCs w:val="32"/>
        </w:rPr>
        <w:t>关于20</w:t>
      </w:r>
      <w:r>
        <w:rPr>
          <w:rFonts w:hint="eastAsia" w:ascii="仿宋_GB2312" w:hAnsi="仿宋_GB2312" w:eastAsia="仿宋_GB2312" w:cs="仿宋_GB2312"/>
          <w:b/>
          <w:sz w:val="32"/>
          <w:szCs w:val="32"/>
          <w:lang w:val="en-US" w:eastAsia="zh-CN"/>
        </w:rPr>
        <w:t>21</w:t>
      </w:r>
      <w:r>
        <w:rPr>
          <w:rFonts w:hint="eastAsia" w:ascii="仿宋_GB2312" w:hAnsi="仿宋_GB2312" w:eastAsia="仿宋_GB2312" w:cs="仿宋_GB2312"/>
          <w:b/>
          <w:sz w:val="32"/>
          <w:szCs w:val="32"/>
        </w:rPr>
        <w:t>年教职工疗休养意向摸底调查的通知</w:t>
      </w: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各工会小组、全体工会会员：</w:t>
      </w:r>
    </w:p>
    <w:p>
      <w:pPr>
        <w:pStyle w:val="7"/>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为进一步</w:t>
      </w:r>
      <w:r>
        <w:rPr>
          <w:rFonts w:hint="eastAsia" w:ascii="仿宋_GB2312" w:hAnsi="仿宋_GB2312" w:eastAsia="仿宋_GB2312" w:cs="仿宋_GB2312"/>
          <w:sz w:val="28"/>
          <w:szCs w:val="28"/>
          <w:lang w:eastAsia="zh-CN"/>
        </w:rPr>
        <w:t>提升</w:t>
      </w:r>
      <w:r>
        <w:rPr>
          <w:rFonts w:hint="eastAsia" w:ascii="仿宋_GB2312" w:hAnsi="仿宋_GB2312" w:eastAsia="仿宋_GB2312" w:cs="仿宋_GB2312"/>
          <w:sz w:val="28"/>
          <w:szCs w:val="28"/>
        </w:rPr>
        <w:t>教职工疗休养</w:t>
      </w:r>
      <w:r>
        <w:rPr>
          <w:rFonts w:hint="eastAsia" w:ascii="仿宋_GB2312" w:hAnsi="仿宋_GB2312" w:eastAsia="仿宋_GB2312" w:cs="仿宋_GB2312"/>
          <w:sz w:val="28"/>
          <w:szCs w:val="28"/>
          <w:lang w:eastAsia="zh-CN"/>
        </w:rPr>
        <w:t>的质量</w:t>
      </w:r>
      <w:r>
        <w:rPr>
          <w:rFonts w:hint="eastAsia" w:ascii="仿宋_GB2312" w:hAnsi="仿宋_GB2312" w:eastAsia="仿宋_GB2312" w:cs="仿宋_GB2312"/>
          <w:sz w:val="28"/>
          <w:szCs w:val="28"/>
        </w:rPr>
        <w:t>，充分保障教职工休息休假权益，</w:t>
      </w:r>
      <w:r>
        <w:rPr>
          <w:rFonts w:hint="eastAsia" w:ascii="仿宋_GB2312" w:hAnsi="仿宋_GB2312" w:eastAsia="仿宋_GB2312" w:cs="仿宋_GB2312"/>
          <w:sz w:val="28"/>
          <w:szCs w:val="28"/>
          <w:lang w:eastAsia="zh-CN"/>
        </w:rPr>
        <w:t>同时</w:t>
      </w:r>
      <w:r>
        <w:rPr>
          <w:rFonts w:hint="eastAsia" w:ascii="仿宋_GB2312" w:hAnsi="仿宋_GB2312" w:eastAsia="仿宋_GB2312" w:cs="仿宋_GB2312"/>
          <w:sz w:val="28"/>
          <w:szCs w:val="28"/>
        </w:rPr>
        <w:t>更好发挥职工疗休养工作助推消费市场复苏和经济社会发展的积极作用，根据市总工会、财政局</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人力资源和社会保障 局、文化和广电旅游体育局《关于调整职工疗休养有关政策的通知》（舟总工〔2021〕8 号）精神，经研究，决定对20</w:t>
      </w:r>
      <w:r>
        <w:rPr>
          <w:rFonts w:hint="eastAsia" w:ascii="仿宋_GB2312" w:hAnsi="仿宋_GB2312" w:eastAsia="仿宋_GB2312" w:cs="仿宋_GB2312"/>
          <w:sz w:val="28"/>
          <w:szCs w:val="28"/>
          <w:lang w:val="en-US" w:eastAsia="zh-CN"/>
        </w:rPr>
        <w:t>21</w:t>
      </w:r>
      <w:r>
        <w:rPr>
          <w:rFonts w:hint="eastAsia" w:ascii="仿宋_GB2312" w:hAnsi="仿宋_GB2312" w:eastAsia="仿宋_GB2312" w:cs="仿宋_GB2312"/>
          <w:sz w:val="28"/>
          <w:szCs w:val="28"/>
        </w:rPr>
        <w:t>年度学院教职工疗休养工作开展一次意向摸底调查。</w:t>
      </w:r>
    </w:p>
    <w:p>
      <w:pPr>
        <w:pStyle w:val="7"/>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希望各工会小组、全体工会会员积极自主地表达自己的疗休养意愿，配合学院工会做好20</w:t>
      </w:r>
      <w:r>
        <w:rPr>
          <w:rFonts w:hint="eastAsia" w:ascii="仿宋_GB2312" w:hAnsi="仿宋_GB2312" w:eastAsia="仿宋_GB2312" w:cs="仿宋_GB2312"/>
          <w:sz w:val="28"/>
          <w:szCs w:val="28"/>
          <w:lang w:val="en-US" w:eastAsia="zh-CN"/>
        </w:rPr>
        <w:t>21</w:t>
      </w:r>
      <w:r>
        <w:rPr>
          <w:rFonts w:hint="eastAsia" w:ascii="仿宋_GB2312" w:hAnsi="仿宋_GB2312" w:eastAsia="仿宋_GB2312" w:cs="仿宋_GB2312"/>
          <w:sz w:val="28"/>
          <w:szCs w:val="28"/>
        </w:rPr>
        <w:t>年度疗休养工作。</w:t>
      </w:r>
    </w:p>
    <w:p>
      <w:pPr>
        <w:pStyle w:val="7"/>
        <w:spacing w:line="500" w:lineRule="exact"/>
        <w:ind w:firstLine="562" w:firstLineChars="200"/>
        <w:rPr>
          <w:rFonts w:hint="eastAsia" w:ascii="仿宋_GB2312" w:hAnsi="仿宋_GB2312" w:eastAsia="仿宋_GB2312" w:cs="仿宋_GB2312"/>
          <w:b/>
          <w:bCs w:val="0"/>
          <w:sz w:val="28"/>
          <w:szCs w:val="28"/>
        </w:rPr>
      </w:pPr>
      <w:r>
        <w:rPr>
          <w:rFonts w:hint="eastAsia" w:ascii="仿宋_GB2312" w:hAnsi="仿宋_GB2312" w:eastAsia="仿宋_GB2312" w:cs="仿宋_GB2312"/>
          <w:b/>
          <w:bCs w:val="0"/>
          <w:sz w:val="28"/>
          <w:szCs w:val="28"/>
        </w:rPr>
        <w:t>一、需要明确的几个原则</w:t>
      </w:r>
    </w:p>
    <w:p>
      <w:pPr>
        <w:pStyle w:val="7"/>
        <w:spacing w:line="500" w:lineRule="exact"/>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1.疗休养组织方式</w:t>
      </w:r>
    </w:p>
    <w:p>
      <w:pPr>
        <w:pStyle w:val="7"/>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教职工疗休养</w:t>
      </w:r>
      <w:r>
        <w:rPr>
          <w:rFonts w:hint="eastAsia" w:ascii="仿宋_GB2312" w:hAnsi="仿宋_GB2312" w:eastAsia="仿宋_GB2312" w:cs="仿宋_GB2312"/>
          <w:sz w:val="28"/>
          <w:szCs w:val="28"/>
          <w:lang w:eastAsia="zh-CN"/>
        </w:rPr>
        <w:t>是</w:t>
      </w:r>
      <w:r>
        <w:rPr>
          <w:rFonts w:hint="eastAsia" w:ascii="仿宋_GB2312" w:hAnsi="仿宋_GB2312" w:eastAsia="仿宋_GB2312" w:cs="仿宋_GB2312"/>
          <w:sz w:val="28"/>
          <w:szCs w:val="28"/>
        </w:rPr>
        <w:t>集体</w:t>
      </w:r>
      <w:r>
        <w:rPr>
          <w:rFonts w:hint="eastAsia" w:ascii="仿宋_GB2312" w:hAnsi="仿宋_GB2312" w:eastAsia="仿宋_GB2312" w:cs="仿宋_GB2312"/>
          <w:sz w:val="28"/>
          <w:szCs w:val="28"/>
          <w:lang w:eastAsia="zh-CN"/>
        </w:rPr>
        <w:t>活动</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eastAsia="zh-CN"/>
        </w:rPr>
        <w:t>必须由学院工会统一组织实施</w:t>
      </w:r>
      <w:r>
        <w:rPr>
          <w:rFonts w:hint="eastAsia" w:ascii="仿宋_GB2312" w:hAnsi="仿宋_GB2312" w:eastAsia="仿宋_GB2312" w:cs="仿宋_GB2312"/>
          <w:sz w:val="28"/>
          <w:szCs w:val="28"/>
        </w:rPr>
        <w:t>；</w:t>
      </w:r>
    </w:p>
    <w:p>
      <w:pPr>
        <w:pStyle w:val="7"/>
        <w:spacing w:line="500" w:lineRule="exact"/>
        <w:ind w:firstLine="560" w:firstLineChars="20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允许</w:t>
      </w:r>
      <w:r>
        <w:rPr>
          <w:rFonts w:hint="eastAsia" w:ascii="仿宋_GB2312" w:hAnsi="仿宋_GB2312" w:eastAsia="仿宋_GB2312" w:cs="仿宋_GB2312"/>
          <w:sz w:val="28"/>
          <w:szCs w:val="28"/>
          <w:lang w:eastAsia="zh-CN"/>
        </w:rPr>
        <w:t>教</w:t>
      </w:r>
      <w:r>
        <w:rPr>
          <w:rFonts w:hint="eastAsia" w:ascii="仿宋_GB2312" w:hAnsi="仿宋_GB2312" w:eastAsia="仿宋_GB2312" w:cs="仿宋_GB2312"/>
          <w:sz w:val="28"/>
          <w:szCs w:val="28"/>
        </w:rPr>
        <w:t>职工家属随同参加，随同家属须与疗休养承办单位订立旅游合同，费用自理，责任自负。</w:t>
      </w:r>
    </w:p>
    <w:p>
      <w:pPr>
        <w:pStyle w:val="7"/>
        <w:spacing w:line="500" w:lineRule="exact"/>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2.疗休养地点路线</w:t>
      </w:r>
      <w:r>
        <w:rPr>
          <w:rFonts w:hint="eastAsia" w:ascii="仿宋_GB2312" w:hAnsi="仿宋_GB2312" w:eastAsia="仿宋_GB2312" w:cs="仿宋_GB2312"/>
          <w:b/>
          <w:bCs/>
          <w:sz w:val="28"/>
          <w:szCs w:val="28"/>
          <w:lang w:eastAsia="zh-CN"/>
        </w:rPr>
        <w:t>选择</w:t>
      </w:r>
    </w:p>
    <w:p>
      <w:pPr>
        <w:pStyle w:val="7"/>
        <w:spacing w:line="500" w:lineRule="exact"/>
        <w:ind w:firstLine="560" w:firstLineChars="20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lang w:eastAsia="zh-CN"/>
        </w:rPr>
        <w:t>）充分考虑疫情防控需要，合理选择疗休养线路。</w:t>
      </w:r>
    </w:p>
    <w:p>
      <w:pPr>
        <w:pStyle w:val="7"/>
        <w:spacing w:line="500" w:lineRule="exact"/>
        <w:ind w:firstLine="560" w:firstLineChars="20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结合建党一百周年党史教育和促进乡村振兴，</w:t>
      </w:r>
      <w:r>
        <w:rPr>
          <w:rFonts w:hint="eastAsia" w:ascii="仿宋_GB2312" w:hAnsi="仿宋_GB2312" w:eastAsia="仿宋_GB2312" w:cs="仿宋_GB2312"/>
          <w:sz w:val="28"/>
          <w:szCs w:val="28"/>
          <w:lang w:eastAsia="zh-CN"/>
        </w:rPr>
        <w:t>积极倡导</w:t>
      </w:r>
      <w:r>
        <w:rPr>
          <w:rFonts w:hint="eastAsia" w:ascii="仿宋_GB2312" w:hAnsi="仿宋_GB2312" w:eastAsia="仿宋_GB2312" w:cs="仿宋_GB2312"/>
          <w:sz w:val="28"/>
          <w:szCs w:val="28"/>
        </w:rPr>
        <w:t>到红色教育基地、职工疗休养基地、美丽乡村示范点等地开展疗休养活动</w:t>
      </w:r>
      <w:r>
        <w:rPr>
          <w:rFonts w:hint="eastAsia" w:ascii="仿宋_GB2312" w:hAnsi="仿宋_GB2312" w:eastAsia="仿宋_GB2312" w:cs="仿宋_GB2312"/>
          <w:sz w:val="28"/>
          <w:szCs w:val="28"/>
          <w:lang w:eastAsia="zh-CN"/>
        </w:rPr>
        <w:t>。</w:t>
      </w:r>
    </w:p>
    <w:p>
      <w:pPr>
        <w:pStyle w:val="7"/>
        <w:spacing w:line="500" w:lineRule="exact"/>
        <w:ind w:firstLine="560" w:firstLineChars="200"/>
        <w:rPr>
          <w:rFonts w:hint="eastAsia" w:ascii="仿宋_GB2312" w:hAnsi="仿宋_GB2312" w:eastAsia="仿宋_GB2312" w:cs="仿宋_GB2312"/>
          <w:sz w:val="28"/>
          <w:szCs w:val="28"/>
          <w:highlight w:val="yellow"/>
          <w:lang w:val="en-US" w:eastAsia="zh-CN"/>
        </w:rPr>
      </w:pP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lang w:val="en-US" w:eastAsia="zh-CN"/>
        </w:rPr>
        <w:t>3</w:t>
      </w:r>
      <w:r>
        <w:rPr>
          <w:rFonts w:hint="eastAsia" w:ascii="仿宋_GB2312" w:hAnsi="仿宋_GB2312" w:eastAsia="仿宋_GB2312" w:cs="仿宋_GB2312"/>
          <w:sz w:val="28"/>
          <w:szCs w:val="28"/>
          <w:highlight w:val="none"/>
          <w:lang w:eastAsia="zh-CN"/>
        </w:rPr>
        <w:t>）教</w:t>
      </w:r>
      <w:r>
        <w:rPr>
          <w:rFonts w:hint="eastAsia" w:ascii="仿宋_GB2312" w:hAnsi="仿宋_GB2312" w:eastAsia="仿宋_GB2312" w:cs="仿宋_GB2312"/>
          <w:sz w:val="28"/>
          <w:szCs w:val="28"/>
          <w:highlight w:val="none"/>
        </w:rPr>
        <w:t>职工疗休养活动</w:t>
      </w:r>
      <w:r>
        <w:rPr>
          <w:rFonts w:hint="eastAsia" w:ascii="仿宋_GB2312" w:hAnsi="仿宋_GB2312" w:eastAsia="仿宋_GB2312" w:cs="仿宋_GB2312"/>
          <w:sz w:val="28"/>
          <w:szCs w:val="28"/>
          <w:highlight w:val="none"/>
          <w:lang w:eastAsia="zh-CN"/>
        </w:rPr>
        <w:t>继续执行</w:t>
      </w:r>
      <w:r>
        <w:rPr>
          <w:rFonts w:hint="eastAsia" w:ascii="仿宋_GB2312" w:hAnsi="仿宋_GB2312" w:eastAsia="仿宋_GB2312" w:cs="仿宋_GB2312"/>
          <w:sz w:val="28"/>
          <w:szCs w:val="28"/>
          <w:highlight w:val="none"/>
        </w:rPr>
        <w:t>三年一次出省和每次一省多点的政策</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lang w:val="en-US" w:eastAsia="zh-CN"/>
        </w:rPr>
        <w:t>2019年已经参加跨省疗休养的教职工（具体名单见附件）今年只能选择省内游；2021年学院工会在疫情防控许可的情况下根据教职工意向组织1条跨省线路（按少数服从多数原则）。</w:t>
      </w:r>
    </w:p>
    <w:p>
      <w:pPr>
        <w:pStyle w:val="7"/>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跨省疗休养地点</w:t>
      </w:r>
    </w:p>
    <w:p>
      <w:pPr>
        <w:pStyle w:val="7"/>
        <w:spacing w:line="500" w:lineRule="exact"/>
        <w:ind w:firstLine="560" w:firstLineChars="20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①对口帮扶的四川省达州市</w:t>
      </w:r>
      <w:r>
        <w:rPr>
          <w:rFonts w:hint="eastAsia" w:ascii="仿宋_GB2312" w:hAnsi="仿宋_GB2312" w:eastAsia="仿宋_GB2312" w:cs="仿宋_GB2312"/>
          <w:sz w:val="28"/>
          <w:szCs w:val="28"/>
          <w:lang w:eastAsia="zh-CN"/>
        </w:rPr>
        <w:t>（选择此线路</w:t>
      </w:r>
      <w:r>
        <w:rPr>
          <w:rFonts w:hint="eastAsia" w:ascii="仿宋_GB2312" w:hAnsi="仿宋_GB2312" w:eastAsia="仿宋_GB2312" w:cs="仿宋_GB2312"/>
          <w:color w:val="auto"/>
          <w:sz w:val="28"/>
          <w:szCs w:val="28"/>
        </w:rPr>
        <w:t>必须到达</w:t>
      </w:r>
      <w:r>
        <w:rPr>
          <w:rFonts w:hint="eastAsia" w:ascii="仿宋_GB2312" w:hAnsi="仿宋_GB2312" w:eastAsia="仿宋_GB2312" w:cs="仿宋_GB2312"/>
          <w:color w:val="auto"/>
          <w:sz w:val="28"/>
          <w:szCs w:val="28"/>
          <w:lang w:eastAsia="zh-CN"/>
        </w:rPr>
        <w:t>达州</w:t>
      </w:r>
      <w:r>
        <w:rPr>
          <w:rFonts w:hint="eastAsia" w:ascii="仿宋_GB2312" w:hAnsi="仿宋_GB2312" w:eastAsia="仿宋_GB2312" w:cs="仿宋_GB2312"/>
          <w:color w:val="auto"/>
          <w:sz w:val="28"/>
          <w:szCs w:val="28"/>
        </w:rPr>
        <w:t>且至少住宿一个晚上</w:t>
      </w:r>
      <w:r>
        <w:rPr>
          <w:rFonts w:hint="eastAsia" w:ascii="仿宋_GB2312" w:hAnsi="仿宋_GB2312" w:eastAsia="仿宋_GB2312" w:cs="仿宋_GB2312"/>
          <w:sz w:val="28"/>
          <w:szCs w:val="28"/>
          <w:lang w:eastAsia="zh-CN"/>
        </w:rPr>
        <w:t>）。</w:t>
      </w:r>
    </w:p>
    <w:p>
      <w:pPr>
        <w:pStyle w:val="7"/>
        <w:spacing w:line="500" w:lineRule="exact"/>
        <w:ind w:firstLine="560" w:firstLineChars="20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②浙江省周边的沪、苏、皖、赣、闽四省一市</w:t>
      </w:r>
      <w:r>
        <w:rPr>
          <w:rFonts w:hint="eastAsia" w:ascii="仿宋_GB2312" w:hAnsi="仿宋_GB2312" w:eastAsia="仿宋_GB2312" w:cs="仿宋_GB2312"/>
          <w:sz w:val="28"/>
          <w:szCs w:val="28"/>
          <w:lang w:eastAsia="zh-CN"/>
        </w:rPr>
        <w:t>。</w:t>
      </w:r>
    </w:p>
    <w:p>
      <w:pPr>
        <w:pStyle w:val="7"/>
        <w:spacing w:line="500" w:lineRule="exact"/>
        <w:ind w:firstLine="562" w:firstLineChars="200"/>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3.疗休养</w:t>
      </w:r>
      <w:r>
        <w:rPr>
          <w:rFonts w:hint="eastAsia" w:ascii="仿宋_GB2312" w:hAnsi="仿宋_GB2312" w:eastAsia="仿宋_GB2312" w:cs="仿宋_GB2312"/>
          <w:b/>
          <w:bCs/>
          <w:color w:val="auto"/>
          <w:sz w:val="28"/>
          <w:szCs w:val="28"/>
          <w:lang w:eastAsia="zh-CN"/>
        </w:rPr>
        <w:t>的</w:t>
      </w:r>
      <w:r>
        <w:rPr>
          <w:rFonts w:hint="eastAsia" w:ascii="仿宋_GB2312" w:hAnsi="仿宋_GB2312" w:eastAsia="仿宋_GB2312" w:cs="仿宋_GB2312"/>
          <w:b/>
          <w:bCs/>
          <w:color w:val="auto"/>
          <w:sz w:val="28"/>
          <w:szCs w:val="28"/>
        </w:rPr>
        <w:t>费用</w:t>
      </w:r>
      <w:r>
        <w:rPr>
          <w:rFonts w:hint="eastAsia" w:ascii="仿宋_GB2312" w:hAnsi="仿宋_GB2312" w:eastAsia="仿宋_GB2312" w:cs="仿宋_GB2312"/>
          <w:b/>
          <w:bCs/>
          <w:color w:val="auto"/>
          <w:sz w:val="28"/>
          <w:szCs w:val="28"/>
          <w:lang w:eastAsia="zh-CN"/>
        </w:rPr>
        <w:t>和</w:t>
      </w:r>
      <w:r>
        <w:rPr>
          <w:rFonts w:hint="eastAsia" w:ascii="仿宋_GB2312" w:hAnsi="仿宋_GB2312" w:eastAsia="仿宋_GB2312" w:cs="仿宋_GB2312"/>
          <w:b/>
          <w:bCs/>
          <w:color w:val="auto"/>
          <w:sz w:val="28"/>
          <w:szCs w:val="28"/>
        </w:rPr>
        <w:t>时间</w:t>
      </w:r>
    </w:p>
    <w:p>
      <w:pPr>
        <w:pStyle w:val="7"/>
        <w:spacing w:line="50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CN"/>
        </w:rPr>
        <w:t>1</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费用</w:t>
      </w:r>
    </w:p>
    <w:p>
      <w:pPr>
        <w:pStyle w:val="7"/>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color w:val="auto"/>
          <w:sz w:val="28"/>
          <w:szCs w:val="28"/>
          <w:lang w:eastAsia="zh-CN"/>
        </w:rPr>
        <w:t>①今年疗休养</w:t>
      </w:r>
      <w:r>
        <w:rPr>
          <w:rFonts w:hint="eastAsia" w:ascii="仿宋_GB2312" w:hAnsi="仿宋_GB2312" w:eastAsia="仿宋_GB2312" w:cs="仿宋_GB2312"/>
          <w:sz w:val="28"/>
          <w:szCs w:val="28"/>
        </w:rPr>
        <w:t>按每人每年不超过3000元的标准，凭据在单位提取的福利费中列支。</w:t>
      </w:r>
    </w:p>
    <w:p>
      <w:pPr>
        <w:pStyle w:val="7"/>
        <w:spacing w:line="500" w:lineRule="exact"/>
        <w:ind w:firstLine="560" w:firstLineChars="200"/>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rPr>
        <w:t>②参加赴</w:t>
      </w:r>
      <w:r>
        <w:rPr>
          <w:rFonts w:hint="eastAsia" w:ascii="仿宋_GB2312" w:hAnsi="仿宋_GB2312" w:eastAsia="仿宋_GB2312" w:cs="仿宋_GB2312"/>
          <w:sz w:val="28"/>
          <w:szCs w:val="28"/>
        </w:rPr>
        <w:t>对口帮扶的四川省达州市</w:t>
      </w:r>
      <w:r>
        <w:rPr>
          <w:rFonts w:hint="eastAsia" w:ascii="仿宋_GB2312" w:hAnsi="仿宋_GB2312" w:eastAsia="仿宋_GB2312" w:cs="仿宋_GB2312"/>
          <w:color w:val="auto"/>
          <w:sz w:val="28"/>
          <w:szCs w:val="28"/>
        </w:rPr>
        <w:t>跨省疗休养的人员，视</w:t>
      </w:r>
      <w:r>
        <w:rPr>
          <w:rFonts w:hint="eastAsia" w:ascii="仿宋_GB2312" w:hAnsi="仿宋_GB2312" w:eastAsia="仿宋_GB2312" w:cs="仿宋_GB2312"/>
          <w:color w:val="auto"/>
          <w:sz w:val="28"/>
          <w:szCs w:val="28"/>
          <w:lang w:eastAsia="zh-CN"/>
        </w:rPr>
        <w:t>前两</w:t>
      </w:r>
      <w:r>
        <w:rPr>
          <w:rFonts w:hint="eastAsia" w:ascii="仿宋_GB2312" w:hAnsi="仿宋_GB2312" w:eastAsia="仿宋_GB2312" w:cs="仿宋_GB2312"/>
          <w:color w:val="auto"/>
          <w:sz w:val="28"/>
          <w:szCs w:val="28"/>
          <w:lang w:val="en-US" w:eastAsia="zh-CN"/>
        </w:rPr>
        <w:t>年参加疗休养</w:t>
      </w:r>
      <w:r>
        <w:rPr>
          <w:rFonts w:hint="eastAsia" w:ascii="仿宋_GB2312" w:hAnsi="仿宋_GB2312" w:eastAsia="仿宋_GB2312" w:cs="仿宋_GB2312"/>
          <w:color w:val="auto"/>
          <w:sz w:val="28"/>
          <w:szCs w:val="28"/>
        </w:rPr>
        <w:t>的情况，</w:t>
      </w:r>
      <w:r>
        <w:rPr>
          <w:rFonts w:hint="eastAsia" w:ascii="仿宋_GB2312" w:hAnsi="仿宋_GB2312" w:eastAsia="仿宋_GB2312" w:cs="仿宋_GB2312"/>
          <w:color w:val="auto"/>
          <w:sz w:val="28"/>
          <w:szCs w:val="28"/>
          <w:lang w:eastAsia="zh-CN"/>
        </w:rPr>
        <w:t>未使用的疗休养年度经费可累加使用。</w:t>
      </w:r>
    </w:p>
    <w:p>
      <w:pPr>
        <w:pStyle w:val="7"/>
        <w:spacing w:line="50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③参加省内和</w:t>
      </w:r>
      <w:r>
        <w:rPr>
          <w:rFonts w:hint="eastAsia" w:ascii="仿宋_GB2312" w:hAnsi="仿宋_GB2312" w:eastAsia="仿宋_GB2312" w:cs="仿宋_GB2312"/>
          <w:i w:val="0"/>
          <w:caps w:val="0"/>
          <w:color w:val="111F2C"/>
          <w:spacing w:val="0"/>
          <w:sz w:val="28"/>
          <w:szCs w:val="28"/>
          <w:shd w:val="clear" w:fill="FFFFFF"/>
        </w:rPr>
        <w:t>上海、江苏、安徽、福建</w:t>
      </w:r>
      <w:r>
        <w:rPr>
          <w:rFonts w:hint="eastAsia" w:ascii="仿宋_GB2312" w:hAnsi="仿宋_GB2312" w:eastAsia="仿宋_GB2312" w:cs="仿宋_GB2312"/>
          <w:i w:val="0"/>
          <w:caps w:val="0"/>
          <w:color w:val="111F2C"/>
          <w:spacing w:val="0"/>
          <w:sz w:val="28"/>
          <w:szCs w:val="28"/>
          <w:shd w:val="clear" w:fill="FFFFFF"/>
          <w:lang w:eastAsia="zh-CN"/>
        </w:rPr>
        <w:t>、</w:t>
      </w:r>
      <w:r>
        <w:rPr>
          <w:rFonts w:hint="eastAsia" w:ascii="仿宋_GB2312" w:hAnsi="仿宋_GB2312" w:eastAsia="仿宋_GB2312" w:cs="仿宋_GB2312"/>
          <w:i w:val="0"/>
          <w:caps w:val="0"/>
          <w:color w:val="111F2C"/>
          <w:spacing w:val="0"/>
          <w:sz w:val="28"/>
          <w:szCs w:val="28"/>
          <w:shd w:val="clear" w:fill="FFFFFF"/>
        </w:rPr>
        <w:t>江西</w:t>
      </w:r>
      <w:r>
        <w:rPr>
          <w:rFonts w:hint="eastAsia" w:ascii="仿宋_GB2312" w:hAnsi="仿宋_GB2312" w:eastAsia="仿宋_GB2312" w:cs="仿宋_GB2312"/>
          <w:i w:val="0"/>
          <w:caps w:val="0"/>
          <w:color w:val="111F2C"/>
          <w:spacing w:val="0"/>
          <w:sz w:val="28"/>
          <w:szCs w:val="28"/>
          <w:shd w:val="clear" w:fill="FFFFFF"/>
          <w:lang w:eastAsia="zh-CN"/>
        </w:rPr>
        <w:t>周边四省一市</w:t>
      </w:r>
      <w:r>
        <w:rPr>
          <w:rFonts w:hint="eastAsia" w:ascii="仿宋_GB2312" w:hAnsi="仿宋_GB2312" w:eastAsia="仿宋_GB2312" w:cs="仿宋_GB2312"/>
          <w:i w:val="0"/>
          <w:caps w:val="0"/>
          <w:color w:val="111F2C"/>
          <w:spacing w:val="0"/>
          <w:sz w:val="28"/>
          <w:szCs w:val="28"/>
          <w:shd w:val="clear" w:fill="FFFFFF"/>
        </w:rPr>
        <w:t>疗休养</w:t>
      </w:r>
      <w:r>
        <w:rPr>
          <w:rFonts w:hint="eastAsia" w:ascii="仿宋_GB2312" w:hAnsi="仿宋_GB2312" w:eastAsia="仿宋_GB2312" w:cs="仿宋_GB2312"/>
          <w:i w:val="0"/>
          <w:caps w:val="0"/>
          <w:color w:val="111F2C"/>
          <w:spacing w:val="0"/>
          <w:sz w:val="28"/>
          <w:szCs w:val="28"/>
          <w:shd w:val="clear" w:fill="FFFFFF"/>
          <w:lang w:eastAsia="zh-CN"/>
        </w:rPr>
        <w:t>的人员，</w:t>
      </w:r>
      <w:r>
        <w:rPr>
          <w:rFonts w:hint="eastAsia" w:ascii="仿宋_GB2312" w:hAnsi="仿宋_GB2312" w:eastAsia="仿宋_GB2312" w:cs="仿宋_GB2312"/>
          <w:i w:val="0"/>
          <w:caps w:val="0"/>
          <w:color w:val="111F2C"/>
          <w:spacing w:val="0"/>
          <w:sz w:val="28"/>
          <w:szCs w:val="28"/>
          <w:shd w:val="clear" w:fill="FFFFFF"/>
        </w:rPr>
        <w:t>经费不可以累</w:t>
      </w:r>
      <w:r>
        <w:rPr>
          <w:rFonts w:hint="eastAsia" w:ascii="仿宋_GB2312" w:hAnsi="仿宋_GB2312" w:eastAsia="仿宋_GB2312" w:cs="仿宋_GB2312"/>
          <w:i w:val="0"/>
          <w:caps w:val="0"/>
          <w:color w:val="111F2C"/>
          <w:spacing w:val="0"/>
          <w:sz w:val="28"/>
          <w:szCs w:val="28"/>
          <w:shd w:val="clear" w:fill="FFFFFF"/>
          <w:lang w:eastAsia="zh-CN"/>
        </w:rPr>
        <w:t>加</w:t>
      </w:r>
      <w:r>
        <w:rPr>
          <w:rFonts w:hint="eastAsia" w:ascii="仿宋_GB2312" w:hAnsi="仿宋_GB2312" w:eastAsia="仿宋_GB2312" w:cs="仿宋_GB2312"/>
          <w:i w:val="0"/>
          <w:caps w:val="0"/>
          <w:color w:val="111F2C"/>
          <w:spacing w:val="0"/>
          <w:sz w:val="28"/>
          <w:szCs w:val="28"/>
          <w:shd w:val="clear" w:fill="FFFFFF"/>
        </w:rPr>
        <w:t>，只能用当年的。</w:t>
      </w:r>
    </w:p>
    <w:p>
      <w:pPr>
        <w:pStyle w:val="7"/>
        <w:numPr>
          <w:ilvl w:val="0"/>
          <w:numId w:val="1"/>
        </w:numPr>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时间</w:t>
      </w:r>
    </w:p>
    <w:p>
      <w:pPr>
        <w:pStyle w:val="7"/>
        <w:spacing w:line="500" w:lineRule="exact"/>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eastAsia="zh-CN"/>
        </w:rPr>
        <w:t>①学院</w:t>
      </w:r>
      <w:r>
        <w:rPr>
          <w:rFonts w:hint="eastAsia" w:ascii="仿宋_GB2312" w:hAnsi="仿宋_GB2312" w:eastAsia="仿宋_GB2312" w:cs="仿宋_GB2312"/>
          <w:color w:val="auto"/>
          <w:sz w:val="28"/>
          <w:szCs w:val="28"/>
          <w:highlight w:val="none"/>
          <w:lang w:val="en-US" w:eastAsia="zh-CN"/>
        </w:rPr>
        <w:t>2021年教职工疗休养</w:t>
      </w:r>
      <w:r>
        <w:rPr>
          <w:rFonts w:hint="eastAsia" w:ascii="仿宋_GB2312" w:hAnsi="仿宋_GB2312" w:eastAsia="仿宋_GB2312" w:cs="仿宋_GB2312"/>
          <w:color w:val="auto"/>
          <w:sz w:val="28"/>
          <w:szCs w:val="28"/>
          <w:highlight w:val="none"/>
          <w:lang w:eastAsia="zh-CN"/>
        </w:rPr>
        <w:t>时间安排在</w:t>
      </w:r>
      <w:r>
        <w:rPr>
          <w:rFonts w:hint="eastAsia" w:ascii="仿宋_GB2312" w:hAnsi="仿宋_GB2312" w:eastAsia="仿宋_GB2312" w:cs="仿宋_GB2312"/>
          <w:color w:val="auto"/>
          <w:sz w:val="28"/>
          <w:szCs w:val="28"/>
          <w:highlight w:val="none"/>
          <w:lang w:val="en-US" w:eastAsia="zh-CN"/>
        </w:rPr>
        <w:t>4月中下旬，如遇特殊原因则延至5月中上旬。</w:t>
      </w:r>
    </w:p>
    <w:p>
      <w:pPr>
        <w:pStyle w:val="7"/>
        <w:spacing w:line="500" w:lineRule="exact"/>
        <w:ind w:firstLine="560" w:firstLineChars="20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②省内及周边</w:t>
      </w:r>
      <w:r>
        <w:rPr>
          <w:rFonts w:hint="eastAsia" w:ascii="仿宋_GB2312" w:hAnsi="仿宋_GB2312" w:eastAsia="仿宋_GB2312" w:cs="仿宋_GB2312"/>
          <w:i w:val="0"/>
          <w:caps w:val="0"/>
          <w:color w:val="111F2C"/>
          <w:spacing w:val="0"/>
          <w:sz w:val="28"/>
          <w:szCs w:val="28"/>
          <w:shd w:val="clear" w:fill="FFFFFF"/>
          <w:lang w:eastAsia="zh-CN"/>
        </w:rPr>
        <w:t>四省一市</w:t>
      </w:r>
      <w:r>
        <w:rPr>
          <w:rFonts w:hint="eastAsia" w:ascii="仿宋_GB2312" w:hAnsi="仿宋_GB2312" w:eastAsia="仿宋_GB2312" w:cs="仿宋_GB2312"/>
          <w:sz w:val="28"/>
          <w:szCs w:val="28"/>
        </w:rPr>
        <w:t>（沪苏皖闽赣）跨省疗休养时间不超过5天（含在途时间）；</w:t>
      </w:r>
      <w:r>
        <w:rPr>
          <w:rFonts w:hint="eastAsia" w:ascii="仿宋_GB2312" w:hAnsi="仿宋_GB2312" w:eastAsia="仿宋_GB2312" w:cs="仿宋_GB2312"/>
          <w:sz w:val="28"/>
          <w:szCs w:val="28"/>
          <w:lang w:eastAsia="zh-CN"/>
        </w:rPr>
        <w:t>其中选择在</w:t>
      </w:r>
      <w:r>
        <w:rPr>
          <w:rFonts w:hint="eastAsia" w:ascii="仿宋_GB2312" w:hAnsi="仿宋_GB2312" w:eastAsia="仿宋_GB2312" w:cs="仿宋_GB2312"/>
          <w:sz w:val="28"/>
          <w:szCs w:val="28"/>
        </w:rPr>
        <w:t>市内开展疗休养活动的，可以分时段进行，但时段不超过两段，且必须由单位工会统一组织</w:t>
      </w:r>
      <w:r>
        <w:rPr>
          <w:rFonts w:hint="eastAsia" w:ascii="仿宋_GB2312" w:hAnsi="仿宋_GB2312" w:eastAsia="仿宋_GB2312" w:cs="仿宋_GB2312"/>
          <w:sz w:val="28"/>
          <w:szCs w:val="28"/>
          <w:lang w:eastAsia="zh-CN"/>
        </w:rPr>
        <w:t>。</w:t>
      </w:r>
    </w:p>
    <w:p>
      <w:pPr>
        <w:pStyle w:val="7"/>
        <w:spacing w:line="500" w:lineRule="exact"/>
        <w:ind w:firstLine="560" w:firstLineChars="200"/>
        <w:rPr>
          <w:rFonts w:hint="eastAsia" w:ascii="仿宋_GB2312" w:hAnsi="仿宋_GB2312" w:eastAsia="仿宋_GB2312" w:cs="仿宋_GB2312"/>
          <w:b/>
          <w:sz w:val="30"/>
          <w:szCs w:val="30"/>
        </w:rPr>
      </w:pPr>
      <w:r>
        <w:rPr>
          <w:rFonts w:hint="eastAsia" w:ascii="仿宋_GB2312" w:hAnsi="仿宋_GB2312" w:eastAsia="仿宋_GB2312" w:cs="仿宋_GB2312"/>
          <w:color w:val="auto"/>
          <w:sz w:val="28"/>
          <w:szCs w:val="28"/>
        </w:rPr>
        <w:t>③</w:t>
      </w:r>
      <w:r>
        <w:rPr>
          <w:rFonts w:hint="eastAsia" w:ascii="仿宋_GB2312" w:hAnsi="仿宋_GB2312" w:eastAsia="仿宋_GB2312" w:cs="仿宋_GB2312"/>
          <w:sz w:val="28"/>
          <w:szCs w:val="28"/>
        </w:rPr>
        <w:t>对口帮扶的四川省达州市跨省疗休养时间不超过7天（含在途时间），占用法定休息日或节假日的不能补休。</w:t>
      </w:r>
    </w:p>
    <w:p>
      <w:pPr>
        <w:pStyle w:val="7"/>
        <w:spacing w:line="500" w:lineRule="exact"/>
        <w:ind w:firstLine="602" w:firstLineChars="200"/>
        <w:rPr>
          <w:rFonts w:hint="eastAsia" w:ascii="仿宋_GB2312" w:hAnsi="仿宋_GB2312" w:eastAsia="仿宋_GB2312" w:cs="仿宋_GB2312"/>
          <w:b/>
          <w:sz w:val="30"/>
          <w:szCs w:val="30"/>
        </w:rPr>
      </w:pPr>
      <w:r>
        <w:rPr>
          <w:rFonts w:hint="eastAsia" w:ascii="仿宋_GB2312" w:hAnsi="仿宋_GB2312" w:eastAsia="仿宋_GB2312" w:cs="仿宋_GB2312"/>
          <w:b/>
          <w:sz w:val="30"/>
          <w:szCs w:val="30"/>
        </w:rPr>
        <w:t>二、教职工疗休养意愿摸底</w:t>
      </w:r>
    </w:p>
    <w:tbl>
      <w:tblPr>
        <w:tblStyle w:val="6"/>
        <w:tblW w:w="85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5"/>
        <w:gridCol w:w="1233"/>
        <w:gridCol w:w="1189"/>
        <w:gridCol w:w="5081"/>
        <w:gridCol w:w="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1" w:hRule="atLeast"/>
        </w:trPr>
        <w:tc>
          <w:tcPr>
            <w:tcW w:w="3437" w:type="dxa"/>
            <w:gridSpan w:val="3"/>
            <w:vAlign w:val="center"/>
          </w:tcPr>
          <w:p>
            <w:pPr>
              <w:pStyle w:val="7"/>
              <w:spacing w:line="50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疗休养目的地</w:t>
            </w:r>
          </w:p>
        </w:tc>
        <w:tc>
          <w:tcPr>
            <w:tcW w:w="5082" w:type="dxa"/>
            <w:gridSpan w:val="2"/>
            <w:vAlign w:val="center"/>
          </w:tcPr>
          <w:p>
            <w:pPr>
              <w:pStyle w:val="7"/>
              <w:spacing w:line="50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选择人</w:t>
            </w:r>
            <w:r>
              <w:rPr>
                <w:rFonts w:hint="eastAsia" w:ascii="仿宋_GB2312" w:hAnsi="仿宋_GB2312" w:eastAsia="仿宋_GB2312" w:cs="仿宋_GB2312"/>
                <w:sz w:val="32"/>
                <w:szCs w:val="32"/>
                <w:lang w:eastAsia="zh-CN"/>
              </w:rPr>
              <w:t>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 w:type="dxa"/>
          <w:trHeight w:val="627" w:hRule="atLeast"/>
        </w:trPr>
        <w:tc>
          <w:tcPr>
            <w:tcW w:w="3437" w:type="dxa"/>
            <w:gridSpan w:val="3"/>
            <w:vAlign w:val="center"/>
          </w:tcPr>
          <w:p>
            <w:pPr>
              <w:pStyle w:val="7"/>
              <w:spacing w:line="50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省内</w:t>
            </w:r>
          </w:p>
        </w:tc>
        <w:tc>
          <w:tcPr>
            <w:tcW w:w="5081" w:type="dxa"/>
            <w:vAlign w:val="center"/>
          </w:tcPr>
          <w:p>
            <w:pPr>
              <w:pStyle w:val="7"/>
              <w:spacing w:line="500" w:lineRule="exact"/>
              <w:jc w:val="center"/>
              <w:rPr>
                <w:rFonts w:hint="eastAsia" w:ascii="仿宋_GB2312" w:hAns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 w:type="dxa"/>
          <w:trHeight w:val="661" w:hRule="atLeast"/>
        </w:trPr>
        <w:tc>
          <w:tcPr>
            <w:tcW w:w="1015" w:type="dxa"/>
            <w:vMerge w:val="restart"/>
            <w:vAlign w:val="center"/>
          </w:tcPr>
          <w:p>
            <w:pPr>
              <w:pStyle w:val="7"/>
              <w:spacing w:line="500" w:lineRule="exact"/>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跨省</w:t>
            </w:r>
          </w:p>
        </w:tc>
        <w:tc>
          <w:tcPr>
            <w:tcW w:w="1233" w:type="dxa"/>
            <w:vMerge w:val="restart"/>
            <w:vAlign w:val="center"/>
          </w:tcPr>
          <w:p>
            <w:pPr>
              <w:pStyle w:val="7"/>
              <w:spacing w:line="500" w:lineRule="exact"/>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周边四省一市</w:t>
            </w:r>
          </w:p>
        </w:tc>
        <w:tc>
          <w:tcPr>
            <w:tcW w:w="1189" w:type="dxa"/>
            <w:vAlign w:val="center"/>
          </w:tcPr>
          <w:p>
            <w:pPr>
              <w:pStyle w:val="7"/>
              <w:spacing w:line="50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江苏</w:t>
            </w:r>
          </w:p>
        </w:tc>
        <w:tc>
          <w:tcPr>
            <w:tcW w:w="5081" w:type="dxa"/>
            <w:vAlign w:val="center"/>
          </w:tcPr>
          <w:p>
            <w:pPr>
              <w:pStyle w:val="7"/>
              <w:spacing w:line="500" w:lineRule="exact"/>
              <w:jc w:val="center"/>
              <w:rPr>
                <w:rFonts w:hint="eastAsia" w:ascii="仿宋_GB2312" w:hAns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 w:type="dxa"/>
          <w:trHeight w:val="661" w:hRule="atLeast"/>
        </w:trPr>
        <w:tc>
          <w:tcPr>
            <w:tcW w:w="1015" w:type="dxa"/>
            <w:vMerge w:val="continue"/>
            <w:vAlign w:val="center"/>
          </w:tcPr>
          <w:p>
            <w:pPr>
              <w:pStyle w:val="7"/>
              <w:spacing w:line="500" w:lineRule="exact"/>
              <w:jc w:val="center"/>
              <w:rPr>
                <w:rFonts w:hint="eastAsia" w:ascii="仿宋_GB2312" w:hAnsi="仿宋_GB2312" w:eastAsia="仿宋_GB2312" w:cs="仿宋_GB2312"/>
                <w:sz w:val="32"/>
                <w:szCs w:val="32"/>
                <w:lang w:eastAsia="zh-CN"/>
              </w:rPr>
            </w:pPr>
          </w:p>
        </w:tc>
        <w:tc>
          <w:tcPr>
            <w:tcW w:w="1233" w:type="dxa"/>
            <w:vMerge w:val="continue"/>
            <w:vAlign w:val="center"/>
          </w:tcPr>
          <w:p>
            <w:pPr>
              <w:pStyle w:val="7"/>
              <w:spacing w:line="500" w:lineRule="exact"/>
              <w:jc w:val="center"/>
              <w:rPr>
                <w:rFonts w:hint="eastAsia" w:ascii="仿宋_GB2312" w:hAnsi="仿宋_GB2312" w:eastAsia="仿宋_GB2312" w:cs="仿宋_GB2312"/>
                <w:sz w:val="32"/>
                <w:szCs w:val="32"/>
                <w:lang w:eastAsia="zh-CN"/>
              </w:rPr>
            </w:pPr>
          </w:p>
        </w:tc>
        <w:tc>
          <w:tcPr>
            <w:tcW w:w="1189" w:type="dxa"/>
            <w:vAlign w:val="center"/>
          </w:tcPr>
          <w:p>
            <w:pPr>
              <w:pStyle w:val="7"/>
              <w:spacing w:line="50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江西</w:t>
            </w:r>
          </w:p>
        </w:tc>
        <w:tc>
          <w:tcPr>
            <w:tcW w:w="5081" w:type="dxa"/>
            <w:vAlign w:val="center"/>
          </w:tcPr>
          <w:p>
            <w:pPr>
              <w:pStyle w:val="7"/>
              <w:spacing w:line="500" w:lineRule="exact"/>
              <w:jc w:val="center"/>
              <w:rPr>
                <w:rFonts w:hint="eastAsia" w:ascii="仿宋_GB2312" w:hAns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 w:type="dxa"/>
          <w:trHeight w:val="661" w:hRule="atLeast"/>
        </w:trPr>
        <w:tc>
          <w:tcPr>
            <w:tcW w:w="1015" w:type="dxa"/>
            <w:vMerge w:val="continue"/>
            <w:vAlign w:val="center"/>
          </w:tcPr>
          <w:p>
            <w:pPr>
              <w:pStyle w:val="7"/>
              <w:spacing w:line="500" w:lineRule="exact"/>
              <w:jc w:val="center"/>
              <w:rPr>
                <w:rFonts w:hint="eastAsia" w:ascii="仿宋_GB2312" w:hAnsi="仿宋_GB2312" w:eastAsia="仿宋_GB2312" w:cs="仿宋_GB2312"/>
                <w:sz w:val="32"/>
                <w:szCs w:val="32"/>
                <w:lang w:eastAsia="zh-CN"/>
              </w:rPr>
            </w:pPr>
          </w:p>
        </w:tc>
        <w:tc>
          <w:tcPr>
            <w:tcW w:w="1233" w:type="dxa"/>
            <w:vMerge w:val="continue"/>
            <w:vAlign w:val="center"/>
          </w:tcPr>
          <w:p>
            <w:pPr>
              <w:pStyle w:val="7"/>
              <w:spacing w:line="500" w:lineRule="exact"/>
              <w:jc w:val="center"/>
              <w:rPr>
                <w:rFonts w:hint="eastAsia" w:ascii="仿宋_GB2312" w:hAnsi="仿宋_GB2312" w:eastAsia="仿宋_GB2312" w:cs="仿宋_GB2312"/>
                <w:sz w:val="32"/>
                <w:szCs w:val="32"/>
                <w:lang w:eastAsia="zh-CN"/>
              </w:rPr>
            </w:pPr>
          </w:p>
        </w:tc>
        <w:tc>
          <w:tcPr>
            <w:tcW w:w="1189" w:type="dxa"/>
            <w:vAlign w:val="center"/>
          </w:tcPr>
          <w:p>
            <w:pPr>
              <w:pStyle w:val="7"/>
              <w:spacing w:line="50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安徽</w:t>
            </w:r>
          </w:p>
        </w:tc>
        <w:tc>
          <w:tcPr>
            <w:tcW w:w="5081" w:type="dxa"/>
            <w:vAlign w:val="center"/>
          </w:tcPr>
          <w:p>
            <w:pPr>
              <w:pStyle w:val="7"/>
              <w:spacing w:line="500" w:lineRule="exact"/>
              <w:jc w:val="center"/>
              <w:rPr>
                <w:rFonts w:hint="eastAsia" w:ascii="仿宋_GB2312" w:hAns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 w:type="dxa"/>
          <w:trHeight w:val="661" w:hRule="atLeast"/>
        </w:trPr>
        <w:tc>
          <w:tcPr>
            <w:tcW w:w="1015" w:type="dxa"/>
            <w:vMerge w:val="continue"/>
            <w:vAlign w:val="center"/>
          </w:tcPr>
          <w:p>
            <w:pPr>
              <w:pStyle w:val="7"/>
              <w:spacing w:line="500" w:lineRule="exact"/>
              <w:jc w:val="center"/>
              <w:rPr>
                <w:rFonts w:hint="eastAsia" w:ascii="仿宋_GB2312" w:hAnsi="仿宋_GB2312" w:eastAsia="仿宋_GB2312" w:cs="仿宋_GB2312"/>
                <w:sz w:val="32"/>
                <w:szCs w:val="32"/>
                <w:lang w:eastAsia="zh-CN"/>
              </w:rPr>
            </w:pPr>
          </w:p>
        </w:tc>
        <w:tc>
          <w:tcPr>
            <w:tcW w:w="1233" w:type="dxa"/>
            <w:vMerge w:val="continue"/>
            <w:vAlign w:val="center"/>
          </w:tcPr>
          <w:p>
            <w:pPr>
              <w:pStyle w:val="7"/>
              <w:spacing w:line="500" w:lineRule="exact"/>
              <w:jc w:val="center"/>
              <w:rPr>
                <w:rFonts w:hint="eastAsia" w:ascii="仿宋_GB2312" w:hAnsi="仿宋_GB2312" w:eastAsia="仿宋_GB2312" w:cs="仿宋_GB2312"/>
                <w:sz w:val="32"/>
                <w:szCs w:val="32"/>
                <w:lang w:eastAsia="zh-CN"/>
              </w:rPr>
            </w:pPr>
          </w:p>
        </w:tc>
        <w:tc>
          <w:tcPr>
            <w:tcW w:w="1189" w:type="dxa"/>
            <w:vAlign w:val="center"/>
          </w:tcPr>
          <w:p>
            <w:pPr>
              <w:pStyle w:val="7"/>
              <w:spacing w:line="50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福建</w:t>
            </w:r>
          </w:p>
        </w:tc>
        <w:tc>
          <w:tcPr>
            <w:tcW w:w="5081" w:type="dxa"/>
            <w:vAlign w:val="center"/>
          </w:tcPr>
          <w:p>
            <w:pPr>
              <w:pStyle w:val="7"/>
              <w:spacing w:line="500" w:lineRule="exact"/>
              <w:jc w:val="center"/>
              <w:rPr>
                <w:rFonts w:hint="eastAsia" w:ascii="仿宋_GB2312" w:hAns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 w:type="dxa"/>
          <w:trHeight w:val="661" w:hRule="atLeast"/>
        </w:trPr>
        <w:tc>
          <w:tcPr>
            <w:tcW w:w="1015" w:type="dxa"/>
            <w:vMerge w:val="continue"/>
            <w:vAlign w:val="center"/>
          </w:tcPr>
          <w:p>
            <w:pPr>
              <w:pStyle w:val="7"/>
              <w:spacing w:line="500" w:lineRule="exact"/>
              <w:jc w:val="center"/>
              <w:rPr>
                <w:rFonts w:hint="eastAsia" w:ascii="仿宋_GB2312" w:hAnsi="仿宋_GB2312" w:eastAsia="仿宋_GB2312" w:cs="仿宋_GB2312"/>
                <w:sz w:val="32"/>
                <w:szCs w:val="32"/>
                <w:lang w:eastAsia="zh-CN"/>
              </w:rPr>
            </w:pPr>
          </w:p>
        </w:tc>
        <w:tc>
          <w:tcPr>
            <w:tcW w:w="1233" w:type="dxa"/>
            <w:vMerge w:val="continue"/>
            <w:vAlign w:val="center"/>
          </w:tcPr>
          <w:p>
            <w:pPr>
              <w:pStyle w:val="7"/>
              <w:spacing w:line="500" w:lineRule="exact"/>
              <w:jc w:val="center"/>
              <w:rPr>
                <w:rFonts w:hint="eastAsia" w:ascii="仿宋_GB2312" w:hAnsi="仿宋_GB2312" w:eastAsia="仿宋_GB2312" w:cs="仿宋_GB2312"/>
                <w:sz w:val="32"/>
                <w:szCs w:val="32"/>
                <w:lang w:eastAsia="zh-CN"/>
              </w:rPr>
            </w:pPr>
          </w:p>
        </w:tc>
        <w:tc>
          <w:tcPr>
            <w:tcW w:w="1189" w:type="dxa"/>
            <w:vAlign w:val="center"/>
          </w:tcPr>
          <w:p>
            <w:pPr>
              <w:pStyle w:val="7"/>
              <w:spacing w:line="50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上海</w:t>
            </w:r>
          </w:p>
        </w:tc>
        <w:tc>
          <w:tcPr>
            <w:tcW w:w="5081" w:type="dxa"/>
            <w:vAlign w:val="center"/>
          </w:tcPr>
          <w:p>
            <w:pPr>
              <w:pStyle w:val="7"/>
              <w:spacing w:line="500" w:lineRule="exact"/>
              <w:jc w:val="center"/>
              <w:rPr>
                <w:rFonts w:hint="eastAsia" w:ascii="仿宋_GB2312" w:hAns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 w:type="dxa"/>
          <w:trHeight w:val="661" w:hRule="atLeast"/>
        </w:trPr>
        <w:tc>
          <w:tcPr>
            <w:tcW w:w="1015" w:type="dxa"/>
            <w:vMerge w:val="continue"/>
            <w:vAlign w:val="center"/>
          </w:tcPr>
          <w:p>
            <w:pPr>
              <w:pStyle w:val="7"/>
              <w:spacing w:line="500" w:lineRule="exact"/>
              <w:jc w:val="center"/>
              <w:rPr>
                <w:rFonts w:hint="eastAsia" w:ascii="仿宋_GB2312" w:hAnsi="仿宋_GB2312" w:eastAsia="仿宋_GB2312" w:cs="仿宋_GB2312"/>
                <w:sz w:val="32"/>
                <w:szCs w:val="32"/>
              </w:rPr>
            </w:pPr>
          </w:p>
        </w:tc>
        <w:tc>
          <w:tcPr>
            <w:tcW w:w="2422" w:type="dxa"/>
            <w:gridSpan w:val="2"/>
            <w:vAlign w:val="center"/>
          </w:tcPr>
          <w:p>
            <w:pPr>
              <w:pStyle w:val="7"/>
              <w:spacing w:line="50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28"/>
                <w:szCs w:val="28"/>
              </w:rPr>
              <w:t>四川省达州市</w:t>
            </w:r>
          </w:p>
        </w:tc>
        <w:tc>
          <w:tcPr>
            <w:tcW w:w="5081" w:type="dxa"/>
            <w:vAlign w:val="center"/>
          </w:tcPr>
          <w:p>
            <w:pPr>
              <w:pStyle w:val="7"/>
              <w:spacing w:line="500" w:lineRule="exact"/>
              <w:jc w:val="center"/>
              <w:rPr>
                <w:rFonts w:hint="eastAsia" w:ascii="仿宋_GB2312" w:hAnsi="仿宋_GB2312" w:eastAsia="仿宋_GB2312" w:cs="仿宋_GB2312"/>
                <w:sz w:val="32"/>
                <w:szCs w:val="32"/>
              </w:rPr>
            </w:pPr>
          </w:p>
        </w:tc>
      </w:tr>
    </w:tbl>
    <w:p>
      <w:pPr>
        <w:pStyle w:val="7"/>
        <w:spacing w:line="500" w:lineRule="exact"/>
        <w:ind w:firstLine="643" w:firstLineChars="20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三、需要说明的几个问题</w:t>
      </w:r>
    </w:p>
    <w:p>
      <w:pPr>
        <w:pStyle w:val="7"/>
        <w:spacing w:line="500" w:lineRule="exact"/>
        <w:ind w:firstLine="600" w:firstLineChars="200"/>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1</w:t>
      </w:r>
      <w:r>
        <w:rPr>
          <w:rFonts w:hint="eastAsia" w:ascii="仿宋_GB2312" w:hAnsi="仿宋_GB2312" w:eastAsia="仿宋_GB2312" w:cs="仿宋_GB2312"/>
          <w:color w:val="auto"/>
          <w:sz w:val="30"/>
          <w:szCs w:val="30"/>
        </w:rPr>
        <w:t>.组团完成后（以市教育局批复同意且与旅行社签订组团合同为准）不得随意退选，否则视同参加一次疗休养</w:t>
      </w:r>
      <w:r>
        <w:rPr>
          <w:rFonts w:hint="eastAsia" w:ascii="仿宋_GB2312" w:hAnsi="仿宋_GB2312" w:eastAsia="仿宋_GB2312" w:cs="仿宋_GB2312"/>
          <w:color w:val="auto"/>
          <w:sz w:val="30"/>
          <w:szCs w:val="30"/>
          <w:lang w:val="en-US" w:eastAsia="zh-CN"/>
        </w:rPr>
        <w:t>。</w:t>
      </w:r>
    </w:p>
    <w:p>
      <w:pPr>
        <w:pStyle w:val="7"/>
        <w:spacing w:line="500" w:lineRule="exact"/>
        <w:ind w:firstLine="600" w:firstLineChars="200"/>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lang w:val="en-US" w:eastAsia="zh-CN"/>
        </w:rPr>
        <w:t>2</w:t>
      </w:r>
      <w:r>
        <w:rPr>
          <w:rFonts w:hint="eastAsia" w:ascii="仿宋_GB2312" w:hAnsi="仿宋_GB2312" w:eastAsia="仿宋_GB2312" w:cs="仿宋_GB2312"/>
          <w:color w:val="auto"/>
          <w:sz w:val="30"/>
          <w:szCs w:val="30"/>
        </w:rPr>
        <w:t>.组团负责人（领队）由学院党政领导担任，对疗休养期间发生的费用规范使用负总责，住宿原则上安排二人标准间（特殊情况除外）</w:t>
      </w:r>
      <w:r>
        <w:rPr>
          <w:rFonts w:hint="eastAsia" w:ascii="仿宋_GB2312" w:hAnsi="仿宋_GB2312" w:eastAsia="仿宋_GB2312" w:cs="仿宋_GB2312"/>
          <w:color w:val="auto"/>
          <w:sz w:val="30"/>
          <w:szCs w:val="30"/>
          <w:lang w:eastAsia="zh-CN"/>
        </w:rPr>
        <w:t>。</w:t>
      </w:r>
    </w:p>
    <w:p>
      <w:pPr>
        <w:pStyle w:val="7"/>
        <w:spacing w:line="500" w:lineRule="exact"/>
        <w:ind w:firstLine="600"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3</w:t>
      </w:r>
      <w:r>
        <w:rPr>
          <w:rFonts w:hint="eastAsia" w:ascii="仿宋_GB2312" w:hAnsi="仿宋_GB2312" w:eastAsia="仿宋_GB2312" w:cs="仿宋_GB2312"/>
          <w:color w:val="auto"/>
          <w:sz w:val="30"/>
          <w:szCs w:val="30"/>
        </w:rPr>
        <w:t>.非在编教职工（外包人员除外）疗休养承担费用，</w:t>
      </w:r>
      <w:r>
        <w:rPr>
          <w:rFonts w:hint="eastAsia" w:ascii="仿宋_GB2312" w:hAnsi="仿宋_GB2312" w:eastAsia="仿宋_GB2312" w:cs="仿宋_GB2312"/>
          <w:color w:val="auto"/>
          <w:sz w:val="30"/>
          <w:szCs w:val="30"/>
          <w:highlight w:val="none"/>
        </w:rPr>
        <w:t>参照</w:t>
      </w:r>
      <w:r>
        <w:rPr>
          <w:rFonts w:hint="eastAsia" w:ascii="仿宋_GB2312" w:hAnsi="仿宋_GB2312" w:eastAsia="仿宋_GB2312" w:cs="仿宋_GB2312"/>
          <w:color w:val="auto"/>
          <w:sz w:val="30"/>
          <w:szCs w:val="30"/>
          <w:highlight w:val="none"/>
          <w:lang w:eastAsia="zh-CN"/>
        </w:rPr>
        <w:t>相关</w:t>
      </w:r>
      <w:r>
        <w:rPr>
          <w:rFonts w:hint="eastAsia" w:ascii="仿宋_GB2312" w:hAnsi="仿宋_GB2312" w:eastAsia="仿宋_GB2312" w:cs="仿宋_GB2312"/>
          <w:color w:val="auto"/>
          <w:sz w:val="30"/>
          <w:szCs w:val="30"/>
          <w:highlight w:val="none"/>
        </w:rPr>
        <w:t>规定比例执行。</w:t>
      </w:r>
    </w:p>
    <w:p>
      <w:pPr>
        <w:pStyle w:val="7"/>
        <w:spacing w:line="500" w:lineRule="exact"/>
        <w:ind w:firstLine="600" w:firstLineChars="20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请全体工会会员认真考虑、慎重选择，各工会小组长在3月2</w:t>
      </w:r>
      <w:r>
        <w:rPr>
          <w:rFonts w:hint="eastAsia" w:ascii="仿宋_GB2312" w:hAnsi="仿宋_GB2312" w:eastAsia="仿宋_GB2312" w:cs="仿宋_GB2312"/>
          <w:color w:val="auto"/>
          <w:sz w:val="30"/>
          <w:szCs w:val="30"/>
          <w:lang w:val="en-US" w:eastAsia="zh-CN"/>
        </w:rPr>
        <w:t>4</w:t>
      </w:r>
      <w:r>
        <w:rPr>
          <w:rFonts w:hint="eastAsia" w:ascii="仿宋_GB2312" w:hAnsi="仿宋_GB2312" w:eastAsia="仿宋_GB2312" w:cs="仿宋_GB2312"/>
          <w:color w:val="auto"/>
          <w:sz w:val="30"/>
          <w:szCs w:val="30"/>
        </w:rPr>
        <w:t>日之前，把本年度教职工疗休养选择意愿上报学院工会林</w:t>
      </w:r>
      <w:r>
        <w:rPr>
          <w:rFonts w:hint="eastAsia" w:ascii="仿宋_GB2312" w:hAnsi="仿宋_GB2312" w:eastAsia="仿宋_GB2312" w:cs="仿宋_GB2312"/>
          <w:color w:val="auto"/>
          <w:sz w:val="30"/>
          <w:szCs w:val="30"/>
          <w:lang w:eastAsia="zh-CN"/>
        </w:rPr>
        <w:t>最芬</w:t>
      </w:r>
      <w:r>
        <w:rPr>
          <w:rFonts w:hint="eastAsia" w:ascii="仿宋_GB2312" w:hAnsi="仿宋_GB2312" w:eastAsia="仿宋_GB2312" w:cs="仿宋_GB2312"/>
          <w:color w:val="auto"/>
          <w:sz w:val="30"/>
          <w:szCs w:val="30"/>
        </w:rPr>
        <w:t>老师。</w:t>
      </w:r>
    </w:p>
    <w:p>
      <w:pPr>
        <w:pStyle w:val="7"/>
        <w:spacing w:line="500" w:lineRule="exact"/>
        <w:ind w:firstLine="600" w:firstLineChars="200"/>
        <w:rPr>
          <w:rFonts w:hint="eastAsia" w:ascii="仿宋_GB2312" w:hAnsi="仿宋_GB2312" w:eastAsia="仿宋_GB2312" w:cs="仿宋_GB2312"/>
          <w:color w:val="auto"/>
          <w:sz w:val="30"/>
          <w:szCs w:val="30"/>
        </w:rPr>
      </w:pPr>
    </w:p>
    <w:p>
      <w:pPr>
        <w:ind w:firstLine="600" w:firstLineChars="200"/>
        <w:jc w:val="both"/>
        <w:rPr>
          <w:rFonts w:hint="eastAsia" w:ascii="仿宋_GB2312" w:hAnsi="仿宋_GB2312" w:eastAsia="仿宋_GB2312" w:cs="仿宋_GB2312"/>
          <w:b w:val="0"/>
          <w:bCs w:val="0"/>
          <w:sz w:val="30"/>
          <w:szCs w:val="30"/>
          <w:lang w:eastAsia="zh-CN"/>
        </w:rPr>
      </w:pPr>
      <w:r>
        <w:rPr>
          <w:rFonts w:hint="eastAsia" w:ascii="仿宋_GB2312" w:hAnsi="仿宋_GB2312" w:eastAsia="仿宋_GB2312" w:cs="仿宋_GB2312"/>
          <w:b w:val="0"/>
          <w:bCs w:val="0"/>
          <w:color w:val="auto"/>
          <w:sz w:val="30"/>
          <w:szCs w:val="30"/>
          <w:lang w:eastAsia="zh-CN"/>
        </w:rPr>
        <w:t>附件：</w:t>
      </w:r>
      <w:r>
        <w:rPr>
          <w:rFonts w:hint="eastAsia" w:ascii="仿宋_GB2312" w:hAnsi="仿宋_GB2312" w:eastAsia="仿宋_GB2312" w:cs="仿宋_GB2312"/>
          <w:b w:val="0"/>
          <w:bCs w:val="0"/>
          <w:sz w:val="30"/>
          <w:szCs w:val="30"/>
        </w:rPr>
        <w:t>舟山蓉浦学院2019年（上）跨省疗休养名单</w:t>
      </w:r>
    </w:p>
    <w:p>
      <w:pPr>
        <w:jc w:val="center"/>
        <w:rPr>
          <w:rFonts w:hint="eastAsia" w:ascii="仿宋_GB2312" w:hAnsi="仿宋_GB2312" w:eastAsia="仿宋_GB2312" w:cs="仿宋_GB2312"/>
          <w:b w:val="0"/>
          <w:bCs w:val="0"/>
          <w:sz w:val="30"/>
          <w:szCs w:val="30"/>
        </w:rPr>
      </w:pPr>
      <w:r>
        <w:rPr>
          <w:rFonts w:hint="eastAsia" w:ascii="仿宋_GB2312" w:hAnsi="仿宋_GB2312" w:eastAsia="仿宋_GB2312" w:cs="仿宋_GB2312"/>
          <w:b w:val="0"/>
          <w:bCs w:val="0"/>
          <w:sz w:val="30"/>
          <w:szCs w:val="30"/>
          <w:lang w:val="en-US" w:eastAsia="zh-CN"/>
        </w:rPr>
        <w:t xml:space="preserve">     </w:t>
      </w:r>
    </w:p>
    <w:p>
      <w:pPr>
        <w:pStyle w:val="7"/>
        <w:spacing w:line="500" w:lineRule="exact"/>
        <w:ind w:firstLine="600" w:firstLineChars="200"/>
        <w:rPr>
          <w:rFonts w:hint="eastAsia" w:ascii="仿宋_GB2312" w:hAnsi="仿宋_GB2312" w:eastAsia="仿宋_GB2312" w:cs="仿宋_GB2312"/>
          <w:sz w:val="30"/>
          <w:szCs w:val="30"/>
          <w:lang w:val="en-US" w:eastAsia="zh-CN"/>
        </w:rPr>
      </w:pPr>
    </w:p>
    <w:p>
      <w:pPr>
        <w:pStyle w:val="7"/>
        <w:spacing w:line="500" w:lineRule="exact"/>
        <w:ind w:firstLine="600" w:firstLineChars="200"/>
        <w:rPr>
          <w:rFonts w:hint="eastAsia" w:ascii="仿宋_GB2312" w:hAnsi="仿宋_GB2312" w:eastAsia="仿宋_GB2312" w:cs="仿宋_GB2312"/>
          <w:color w:val="auto"/>
          <w:sz w:val="30"/>
          <w:szCs w:val="30"/>
        </w:rPr>
      </w:pPr>
    </w:p>
    <w:p>
      <w:pPr>
        <w:pStyle w:val="7"/>
        <w:spacing w:line="500" w:lineRule="exact"/>
        <w:ind w:firstLine="600" w:firstLineChars="200"/>
        <w:rPr>
          <w:rFonts w:hint="eastAsia" w:ascii="仿宋_GB2312" w:hAnsi="仿宋_GB2312" w:eastAsia="仿宋_GB2312" w:cs="仿宋_GB2312"/>
          <w:color w:val="auto"/>
          <w:sz w:val="30"/>
          <w:szCs w:val="30"/>
        </w:rPr>
      </w:pPr>
    </w:p>
    <w:p>
      <w:pPr>
        <w:pStyle w:val="7"/>
        <w:spacing w:line="500" w:lineRule="exact"/>
        <w:ind w:firstLine="4350" w:firstLineChars="145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舟山蓉浦学院工会委员会</w:t>
      </w:r>
    </w:p>
    <w:p>
      <w:pPr>
        <w:pStyle w:val="7"/>
        <w:spacing w:line="500" w:lineRule="exact"/>
        <w:ind w:firstLine="5100" w:firstLineChars="170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20</w:t>
      </w:r>
      <w:r>
        <w:rPr>
          <w:rFonts w:hint="eastAsia" w:ascii="仿宋_GB2312" w:hAnsi="仿宋_GB2312" w:eastAsia="仿宋_GB2312" w:cs="仿宋_GB2312"/>
          <w:color w:val="auto"/>
          <w:sz w:val="30"/>
          <w:szCs w:val="30"/>
          <w:lang w:val="en-US" w:eastAsia="zh-CN"/>
        </w:rPr>
        <w:t>21</w:t>
      </w:r>
      <w:r>
        <w:rPr>
          <w:rFonts w:hint="eastAsia" w:ascii="仿宋_GB2312" w:hAnsi="仿宋_GB2312" w:eastAsia="仿宋_GB2312" w:cs="仿宋_GB2312"/>
          <w:color w:val="auto"/>
          <w:sz w:val="30"/>
          <w:szCs w:val="30"/>
        </w:rPr>
        <w:t>年3月</w:t>
      </w:r>
      <w:r>
        <w:rPr>
          <w:rFonts w:hint="eastAsia" w:ascii="仿宋_GB2312" w:hAnsi="仿宋_GB2312" w:eastAsia="仿宋_GB2312" w:cs="仿宋_GB2312"/>
          <w:color w:val="auto"/>
          <w:sz w:val="30"/>
          <w:szCs w:val="30"/>
          <w:lang w:val="en-US" w:eastAsia="zh-CN"/>
        </w:rPr>
        <w:t>22</w:t>
      </w:r>
      <w:r>
        <w:rPr>
          <w:rFonts w:hint="eastAsia" w:ascii="仿宋_GB2312" w:hAnsi="仿宋_GB2312" w:eastAsia="仿宋_GB2312" w:cs="仿宋_GB2312"/>
          <w:color w:val="auto"/>
          <w:sz w:val="30"/>
          <w:szCs w:val="30"/>
        </w:rPr>
        <w:t>日</w:t>
      </w:r>
    </w:p>
    <w:p>
      <w:pPr>
        <w:pStyle w:val="7"/>
        <w:spacing w:line="500" w:lineRule="exact"/>
        <w:rPr>
          <w:rFonts w:hint="eastAsia" w:ascii="华文仿宋" w:hAnsi="华文仿宋" w:eastAsia="华文仿宋" w:cs="仿宋_GB2312"/>
          <w:color w:val="auto"/>
          <w:sz w:val="30"/>
          <w:szCs w:val="30"/>
        </w:rPr>
      </w:pPr>
    </w:p>
    <w:p>
      <w:pPr>
        <w:pStyle w:val="7"/>
        <w:spacing w:line="500" w:lineRule="exact"/>
        <w:rPr>
          <w:rFonts w:hint="eastAsia" w:ascii="华文仿宋" w:hAnsi="华文仿宋" w:eastAsia="华文仿宋" w:cs="仿宋_GB2312"/>
          <w:color w:val="auto"/>
          <w:sz w:val="30"/>
          <w:szCs w:val="30"/>
        </w:rPr>
      </w:pPr>
    </w:p>
    <w:p>
      <w:pPr>
        <w:pStyle w:val="7"/>
        <w:spacing w:line="500" w:lineRule="exact"/>
        <w:rPr>
          <w:rFonts w:hint="eastAsia" w:ascii="华文仿宋" w:hAnsi="华文仿宋" w:eastAsia="华文仿宋" w:cs="仿宋_GB2312"/>
          <w:color w:val="auto"/>
          <w:sz w:val="30"/>
          <w:szCs w:val="30"/>
        </w:rPr>
      </w:pPr>
    </w:p>
    <w:p>
      <w:pPr>
        <w:pStyle w:val="7"/>
        <w:spacing w:line="500" w:lineRule="exact"/>
        <w:rPr>
          <w:rFonts w:hint="eastAsia" w:ascii="华文仿宋" w:hAnsi="华文仿宋" w:eastAsia="华文仿宋" w:cs="仿宋_GB2312"/>
          <w:color w:val="auto"/>
          <w:sz w:val="30"/>
          <w:szCs w:val="30"/>
        </w:rPr>
      </w:pPr>
    </w:p>
    <w:p>
      <w:pPr>
        <w:pStyle w:val="7"/>
        <w:spacing w:line="500" w:lineRule="exact"/>
        <w:rPr>
          <w:rFonts w:ascii="华文仿宋" w:hAnsi="华文仿宋" w:eastAsia="华文仿宋" w:cs="仿宋_GB2312"/>
          <w:b/>
          <w:sz w:val="28"/>
          <w:szCs w:val="28"/>
        </w:rPr>
      </w:pPr>
    </w:p>
    <w:p>
      <w:pPr>
        <w:pStyle w:val="7"/>
        <w:spacing w:line="500" w:lineRule="exact"/>
        <w:rPr>
          <w:rFonts w:ascii="华文仿宋" w:hAnsi="华文仿宋" w:eastAsia="华文仿宋" w:cs="仿宋_GB2312"/>
          <w:b/>
          <w:sz w:val="28"/>
          <w:szCs w:val="28"/>
        </w:rPr>
      </w:pPr>
    </w:p>
    <w:p>
      <w:pPr>
        <w:pStyle w:val="7"/>
        <w:spacing w:line="500" w:lineRule="exact"/>
        <w:rPr>
          <w:rFonts w:ascii="华文仿宋" w:hAnsi="华文仿宋" w:eastAsia="华文仿宋" w:cs="仿宋_GB2312"/>
          <w:b/>
          <w:sz w:val="28"/>
          <w:szCs w:val="28"/>
        </w:rPr>
      </w:pPr>
    </w:p>
    <w:p>
      <w:pPr>
        <w:pStyle w:val="7"/>
        <w:spacing w:line="500" w:lineRule="exact"/>
        <w:rPr>
          <w:rFonts w:hint="eastAsia" w:ascii="华文仿宋" w:hAnsi="华文仿宋" w:eastAsia="华文仿宋" w:cs="仿宋_GB2312"/>
          <w:b/>
          <w:sz w:val="28"/>
          <w:szCs w:val="28"/>
          <w:lang w:eastAsia="zh-CN"/>
        </w:rPr>
      </w:pPr>
    </w:p>
    <w:p>
      <w:pPr>
        <w:pStyle w:val="7"/>
        <w:spacing w:line="500" w:lineRule="exact"/>
        <w:rPr>
          <w:rFonts w:hint="eastAsia" w:ascii="华文仿宋" w:hAnsi="华文仿宋" w:eastAsia="华文仿宋" w:cs="仿宋_GB2312"/>
          <w:b/>
          <w:sz w:val="28"/>
          <w:szCs w:val="28"/>
          <w:lang w:eastAsia="zh-CN"/>
        </w:rPr>
      </w:pPr>
      <w:bookmarkStart w:id="0" w:name="_GoBack"/>
      <w:bookmarkEnd w:id="0"/>
    </w:p>
    <w:p>
      <w:pPr>
        <w:pStyle w:val="7"/>
        <w:spacing w:line="500" w:lineRule="exact"/>
        <w:rPr>
          <w:rFonts w:hint="eastAsia" w:ascii="华文仿宋" w:hAnsi="华文仿宋" w:eastAsia="华文仿宋" w:cs="仿宋_GB2312"/>
          <w:b/>
          <w:sz w:val="28"/>
          <w:szCs w:val="28"/>
          <w:lang w:val="en-US" w:eastAsia="zh-CN"/>
        </w:rPr>
      </w:pPr>
      <w:r>
        <w:rPr>
          <w:rFonts w:hint="eastAsia" w:ascii="华文仿宋" w:hAnsi="华文仿宋" w:eastAsia="华文仿宋" w:cs="仿宋_GB2312"/>
          <w:b/>
          <w:sz w:val="28"/>
          <w:szCs w:val="28"/>
          <w:lang w:eastAsia="zh-CN"/>
        </w:rPr>
        <w:t>附件</w:t>
      </w:r>
      <w:r>
        <w:rPr>
          <w:rFonts w:hint="eastAsia" w:ascii="华文仿宋" w:hAnsi="华文仿宋" w:eastAsia="华文仿宋" w:cs="仿宋_GB2312"/>
          <w:b/>
          <w:sz w:val="28"/>
          <w:szCs w:val="28"/>
          <w:lang w:val="en-US" w:eastAsia="zh-CN"/>
        </w:rPr>
        <w:t>：</w:t>
      </w:r>
    </w:p>
    <w:p>
      <w:pPr>
        <w:jc w:val="center"/>
        <w:rPr>
          <w:rFonts w:ascii="宋体" w:hAnsi="宋体"/>
          <w:b/>
          <w:sz w:val="32"/>
          <w:szCs w:val="32"/>
        </w:rPr>
      </w:pPr>
      <w:r>
        <w:rPr>
          <w:rFonts w:hint="eastAsia" w:ascii="宋体" w:hAnsi="宋体"/>
          <w:b/>
          <w:sz w:val="32"/>
          <w:szCs w:val="32"/>
        </w:rPr>
        <w:t>舟山蓉浦学院2019年（上）跨省疗休养名单</w:t>
      </w:r>
    </w:p>
    <w:p>
      <w:pPr>
        <w:jc w:val="center"/>
        <w:rPr>
          <w:rFonts w:ascii="宋体" w:hAnsi="宋体"/>
          <w:b/>
          <w:sz w:val="28"/>
          <w:szCs w:val="28"/>
        </w:rPr>
      </w:pPr>
      <w:r>
        <w:rPr>
          <w:rFonts w:hint="eastAsia" w:ascii="宋体" w:hAnsi="宋体"/>
          <w:b/>
          <w:sz w:val="28"/>
          <w:szCs w:val="28"/>
        </w:rPr>
        <w:t>（新疆阿克苏地区）</w:t>
      </w:r>
    </w:p>
    <w:tbl>
      <w:tblPr>
        <w:tblStyle w:val="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1984"/>
        <w:gridCol w:w="2127"/>
        <w:gridCol w:w="28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26" w:type="dxa"/>
          </w:tcPr>
          <w:p>
            <w:pPr>
              <w:jc w:val="center"/>
              <w:rPr>
                <w:rFonts w:ascii="宋体"/>
                <w:b/>
                <w:sz w:val="28"/>
                <w:szCs w:val="28"/>
              </w:rPr>
            </w:pPr>
            <w:r>
              <w:rPr>
                <w:rFonts w:hint="eastAsia" w:ascii="宋体"/>
                <w:b/>
                <w:sz w:val="28"/>
                <w:szCs w:val="28"/>
              </w:rPr>
              <w:t>序号</w:t>
            </w:r>
          </w:p>
        </w:tc>
        <w:tc>
          <w:tcPr>
            <w:tcW w:w="1984" w:type="dxa"/>
          </w:tcPr>
          <w:p>
            <w:pPr>
              <w:jc w:val="center"/>
              <w:rPr>
                <w:rFonts w:ascii="宋体"/>
                <w:b/>
                <w:sz w:val="28"/>
                <w:szCs w:val="28"/>
              </w:rPr>
            </w:pPr>
            <w:r>
              <w:rPr>
                <w:rFonts w:hint="eastAsia" w:ascii="宋体"/>
                <w:b/>
                <w:sz w:val="28"/>
                <w:szCs w:val="28"/>
              </w:rPr>
              <w:t>姓名</w:t>
            </w:r>
          </w:p>
        </w:tc>
        <w:tc>
          <w:tcPr>
            <w:tcW w:w="2127" w:type="dxa"/>
          </w:tcPr>
          <w:p>
            <w:pPr>
              <w:jc w:val="center"/>
              <w:rPr>
                <w:rFonts w:ascii="宋体"/>
                <w:b/>
                <w:sz w:val="28"/>
                <w:szCs w:val="28"/>
              </w:rPr>
            </w:pPr>
            <w:r>
              <w:rPr>
                <w:rFonts w:hint="eastAsia" w:ascii="宋体"/>
                <w:b/>
                <w:sz w:val="28"/>
                <w:szCs w:val="28"/>
              </w:rPr>
              <w:t>是否在编</w:t>
            </w:r>
          </w:p>
        </w:tc>
        <w:tc>
          <w:tcPr>
            <w:tcW w:w="2885" w:type="dxa"/>
          </w:tcPr>
          <w:p>
            <w:pPr>
              <w:jc w:val="center"/>
              <w:rPr>
                <w:rFonts w:ascii="宋体"/>
                <w:b/>
                <w:sz w:val="28"/>
                <w:szCs w:val="28"/>
              </w:rPr>
            </w:pPr>
            <w:r>
              <w:rPr>
                <w:rFonts w:hint="eastAsia" w:ascii="宋体"/>
                <w:b/>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26" w:type="dxa"/>
          </w:tcPr>
          <w:p>
            <w:pPr>
              <w:jc w:val="center"/>
              <w:rPr>
                <w:rFonts w:ascii="宋体"/>
                <w:sz w:val="28"/>
                <w:szCs w:val="28"/>
              </w:rPr>
            </w:pPr>
            <w:r>
              <w:rPr>
                <w:rFonts w:hint="eastAsia" w:ascii="宋体"/>
                <w:sz w:val="28"/>
                <w:szCs w:val="28"/>
              </w:rPr>
              <w:t>01</w:t>
            </w:r>
          </w:p>
        </w:tc>
        <w:tc>
          <w:tcPr>
            <w:tcW w:w="1984" w:type="dxa"/>
          </w:tcPr>
          <w:p>
            <w:pPr>
              <w:jc w:val="center"/>
              <w:rPr>
                <w:rFonts w:ascii="宋体"/>
                <w:sz w:val="28"/>
                <w:szCs w:val="28"/>
              </w:rPr>
            </w:pPr>
            <w:r>
              <w:rPr>
                <w:rFonts w:hint="eastAsia" w:ascii="宋体"/>
                <w:sz w:val="28"/>
                <w:szCs w:val="28"/>
              </w:rPr>
              <w:t>傅世军</w:t>
            </w:r>
          </w:p>
        </w:tc>
        <w:tc>
          <w:tcPr>
            <w:tcW w:w="2127" w:type="dxa"/>
          </w:tcPr>
          <w:p>
            <w:pPr>
              <w:jc w:val="center"/>
              <w:rPr>
                <w:rFonts w:ascii="宋体"/>
                <w:sz w:val="28"/>
                <w:szCs w:val="28"/>
              </w:rPr>
            </w:pPr>
            <w:r>
              <w:rPr>
                <w:rFonts w:hint="eastAsia" w:ascii="宋体"/>
                <w:sz w:val="28"/>
                <w:szCs w:val="28"/>
              </w:rPr>
              <w:t>是</w:t>
            </w:r>
          </w:p>
        </w:tc>
        <w:tc>
          <w:tcPr>
            <w:tcW w:w="2885" w:type="dxa"/>
          </w:tcPr>
          <w:p>
            <w:pPr>
              <w:jc w:val="center"/>
              <w:rPr>
                <w:rFonts w:ascii="宋体"/>
                <w:sz w:val="28"/>
                <w:szCs w:val="28"/>
              </w:rPr>
            </w:pPr>
            <w:r>
              <w:rPr>
                <w:rFonts w:hint="eastAsia" w:ascii="宋体"/>
                <w:sz w:val="28"/>
                <w:szCs w:val="28"/>
              </w:rPr>
              <w:t>组团负责人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26" w:type="dxa"/>
          </w:tcPr>
          <w:p>
            <w:pPr>
              <w:jc w:val="center"/>
              <w:rPr>
                <w:rFonts w:ascii="宋体"/>
                <w:sz w:val="28"/>
                <w:szCs w:val="28"/>
              </w:rPr>
            </w:pPr>
            <w:r>
              <w:rPr>
                <w:rFonts w:hint="eastAsia" w:ascii="宋体"/>
                <w:sz w:val="28"/>
                <w:szCs w:val="28"/>
              </w:rPr>
              <w:t>02</w:t>
            </w:r>
          </w:p>
        </w:tc>
        <w:tc>
          <w:tcPr>
            <w:tcW w:w="1984" w:type="dxa"/>
          </w:tcPr>
          <w:p>
            <w:pPr>
              <w:jc w:val="center"/>
              <w:rPr>
                <w:rFonts w:ascii="宋体"/>
                <w:sz w:val="28"/>
                <w:szCs w:val="28"/>
              </w:rPr>
            </w:pPr>
            <w:r>
              <w:rPr>
                <w:rFonts w:hint="eastAsia" w:ascii="宋体"/>
                <w:sz w:val="28"/>
                <w:szCs w:val="28"/>
              </w:rPr>
              <w:t>缪国平</w:t>
            </w:r>
          </w:p>
        </w:tc>
        <w:tc>
          <w:tcPr>
            <w:tcW w:w="2127" w:type="dxa"/>
          </w:tcPr>
          <w:p>
            <w:pPr>
              <w:jc w:val="center"/>
              <w:rPr>
                <w:rFonts w:ascii="宋体"/>
                <w:sz w:val="28"/>
                <w:szCs w:val="28"/>
              </w:rPr>
            </w:pPr>
            <w:r>
              <w:rPr>
                <w:rFonts w:hint="eastAsia" w:ascii="宋体"/>
                <w:sz w:val="28"/>
                <w:szCs w:val="28"/>
              </w:rPr>
              <w:t>是</w:t>
            </w:r>
          </w:p>
        </w:tc>
        <w:tc>
          <w:tcPr>
            <w:tcW w:w="2885" w:type="dxa"/>
          </w:tcPr>
          <w:p>
            <w:pPr>
              <w:jc w:val="center"/>
              <w:rPr>
                <w:rFonts w:asci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26" w:type="dxa"/>
          </w:tcPr>
          <w:p>
            <w:pPr>
              <w:jc w:val="center"/>
              <w:rPr>
                <w:rFonts w:ascii="宋体"/>
                <w:sz w:val="28"/>
                <w:szCs w:val="28"/>
              </w:rPr>
            </w:pPr>
            <w:r>
              <w:rPr>
                <w:rFonts w:hint="eastAsia" w:ascii="宋体"/>
                <w:sz w:val="28"/>
                <w:szCs w:val="28"/>
              </w:rPr>
              <w:t>03</w:t>
            </w:r>
          </w:p>
        </w:tc>
        <w:tc>
          <w:tcPr>
            <w:tcW w:w="1984" w:type="dxa"/>
          </w:tcPr>
          <w:p>
            <w:pPr>
              <w:jc w:val="center"/>
              <w:rPr>
                <w:rFonts w:ascii="宋体"/>
                <w:sz w:val="28"/>
                <w:szCs w:val="28"/>
              </w:rPr>
            </w:pPr>
            <w:r>
              <w:rPr>
                <w:rFonts w:hint="eastAsia" w:ascii="宋体"/>
                <w:sz w:val="28"/>
                <w:szCs w:val="28"/>
              </w:rPr>
              <w:t>邵志良</w:t>
            </w:r>
          </w:p>
        </w:tc>
        <w:tc>
          <w:tcPr>
            <w:tcW w:w="2127" w:type="dxa"/>
          </w:tcPr>
          <w:p>
            <w:pPr>
              <w:jc w:val="center"/>
              <w:rPr>
                <w:rFonts w:ascii="宋体"/>
                <w:sz w:val="28"/>
                <w:szCs w:val="28"/>
              </w:rPr>
            </w:pPr>
            <w:r>
              <w:rPr>
                <w:rFonts w:hint="eastAsia" w:ascii="宋体"/>
                <w:sz w:val="28"/>
                <w:szCs w:val="28"/>
              </w:rPr>
              <w:t>是</w:t>
            </w:r>
          </w:p>
        </w:tc>
        <w:tc>
          <w:tcPr>
            <w:tcW w:w="2885" w:type="dxa"/>
          </w:tcPr>
          <w:p>
            <w:pPr>
              <w:jc w:val="center"/>
              <w:rPr>
                <w:rFonts w:asci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26" w:type="dxa"/>
          </w:tcPr>
          <w:p>
            <w:pPr>
              <w:jc w:val="center"/>
              <w:rPr>
                <w:rFonts w:ascii="宋体"/>
                <w:sz w:val="28"/>
                <w:szCs w:val="28"/>
              </w:rPr>
            </w:pPr>
            <w:r>
              <w:rPr>
                <w:rFonts w:hint="eastAsia" w:ascii="宋体"/>
                <w:sz w:val="28"/>
                <w:szCs w:val="28"/>
              </w:rPr>
              <w:t>04</w:t>
            </w:r>
          </w:p>
        </w:tc>
        <w:tc>
          <w:tcPr>
            <w:tcW w:w="1984" w:type="dxa"/>
          </w:tcPr>
          <w:p>
            <w:pPr>
              <w:jc w:val="center"/>
              <w:rPr>
                <w:rFonts w:ascii="宋体"/>
                <w:sz w:val="28"/>
                <w:szCs w:val="28"/>
              </w:rPr>
            </w:pPr>
            <w:r>
              <w:rPr>
                <w:rFonts w:hint="eastAsia" w:ascii="宋体"/>
                <w:sz w:val="28"/>
                <w:szCs w:val="28"/>
              </w:rPr>
              <w:t>庄燕燕</w:t>
            </w:r>
          </w:p>
        </w:tc>
        <w:tc>
          <w:tcPr>
            <w:tcW w:w="2127" w:type="dxa"/>
          </w:tcPr>
          <w:p>
            <w:pPr>
              <w:jc w:val="center"/>
              <w:rPr>
                <w:rFonts w:ascii="宋体"/>
                <w:sz w:val="28"/>
                <w:szCs w:val="28"/>
              </w:rPr>
            </w:pPr>
            <w:r>
              <w:rPr>
                <w:rFonts w:hint="eastAsia" w:ascii="宋体"/>
                <w:sz w:val="28"/>
                <w:szCs w:val="28"/>
              </w:rPr>
              <w:t>是</w:t>
            </w:r>
          </w:p>
        </w:tc>
        <w:tc>
          <w:tcPr>
            <w:tcW w:w="2885" w:type="dxa"/>
          </w:tcPr>
          <w:p>
            <w:pPr>
              <w:jc w:val="center"/>
              <w:rPr>
                <w:rFonts w:asci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26" w:type="dxa"/>
          </w:tcPr>
          <w:p>
            <w:pPr>
              <w:jc w:val="center"/>
              <w:rPr>
                <w:rFonts w:ascii="宋体"/>
                <w:sz w:val="28"/>
                <w:szCs w:val="28"/>
              </w:rPr>
            </w:pPr>
            <w:r>
              <w:rPr>
                <w:rFonts w:hint="eastAsia" w:ascii="宋体"/>
                <w:sz w:val="28"/>
                <w:szCs w:val="28"/>
              </w:rPr>
              <w:t>05</w:t>
            </w:r>
          </w:p>
        </w:tc>
        <w:tc>
          <w:tcPr>
            <w:tcW w:w="1984" w:type="dxa"/>
          </w:tcPr>
          <w:p>
            <w:pPr>
              <w:jc w:val="center"/>
              <w:rPr>
                <w:rFonts w:ascii="宋体"/>
                <w:sz w:val="28"/>
                <w:szCs w:val="28"/>
              </w:rPr>
            </w:pPr>
            <w:r>
              <w:rPr>
                <w:rFonts w:hint="eastAsia" w:ascii="宋体"/>
                <w:sz w:val="28"/>
                <w:szCs w:val="28"/>
              </w:rPr>
              <w:t>朱燕华</w:t>
            </w:r>
          </w:p>
        </w:tc>
        <w:tc>
          <w:tcPr>
            <w:tcW w:w="2127" w:type="dxa"/>
          </w:tcPr>
          <w:p>
            <w:pPr>
              <w:jc w:val="center"/>
              <w:rPr>
                <w:rFonts w:ascii="宋体"/>
                <w:sz w:val="28"/>
                <w:szCs w:val="28"/>
              </w:rPr>
            </w:pPr>
            <w:r>
              <w:rPr>
                <w:rFonts w:hint="eastAsia" w:ascii="宋体"/>
                <w:sz w:val="28"/>
                <w:szCs w:val="28"/>
              </w:rPr>
              <w:t>是</w:t>
            </w:r>
          </w:p>
        </w:tc>
        <w:tc>
          <w:tcPr>
            <w:tcW w:w="2885" w:type="dxa"/>
          </w:tcPr>
          <w:p>
            <w:pPr>
              <w:jc w:val="center"/>
              <w:rPr>
                <w:rFonts w:asci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26" w:type="dxa"/>
          </w:tcPr>
          <w:p>
            <w:pPr>
              <w:jc w:val="center"/>
              <w:rPr>
                <w:rFonts w:ascii="宋体"/>
                <w:sz w:val="28"/>
                <w:szCs w:val="28"/>
              </w:rPr>
            </w:pPr>
            <w:r>
              <w:rPr>
                <w:rFonts w:hint="eastAsia" w:ascii="宋体"/>
                <w:sz w:val="28"/>
                <w:szCs w:val="28"/>
              </w:rPr>
              <w:t>06</w:t>
            </w:r>
          </w:p>
        </w:tc>
        <w:tc>
          <w:tcPr>
            <w:tcW w:w="1984" w:type="dxa"/>
          </w:tcPr>
          <w:p>
            <w:pPr>
              <w:jc w:val="center"/>
              <w:rPr>
                <w:rFonts w:ascii="宋体"/>
                <w:sz w:val="28"/>
                <w:szCs w:val="28"/>
              </w:rPr>
            </w:pPr>
            <w:r>
              <w:rPr>
                <w:rFonts w:hint="eastAsia" w:ascii="宋体"/>
                <w:sz w:val="28"/>
                <w:szCs w:val="28"/>
              </w:rPr>
              <w:t>周雪娟</w:t>
            </w:r>
          </w:p>
        </w:tc>
        <w:tc>
          <w:tcPr>
            <w:tcW w:w="2127" w:type="dxa"/>
          </w:tcPr>
          <w:p>
            <w:pPr>
              <w:jc w:val="center"/>
              <w:rPr>
                <w:rFonts w:ascii="宋体"/>
                <w:sz w:val="28"/>
                <w:szCs w:val="28"/>
              </w:rPr>
            </w:pPr>
            <w:r>
              <w:rPr>
                <w:rFonts w:hint="eastAsia" w:ascii="宋体"/>
                <w:sz w:val="28"/>
                <w:szCs w:val="28"/>
              </w:rPr>
              <w:t>是</w:t>
            </w:r>
          </w:p>
        </w:tc>
        <w:tc>
          <w:tcPr>
            <w:tcW w:w="2885" w:type="dxa"/>
          </w:tcPr>
          <w:p>
            <w:pPr>
              <w:jc w:val="center"/>
              <w:rPr>
                <w:rFonts w:asci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1526" w:type="dxa"/>
          </w:tcPr>
          <w:p>
            <w:pPr>
              <w:jc w:val="center"/>
              <w:rPr>
                <w:rFonts w:ascii="宋体"/>
                <w:sz w:val="28"/>
                <w:szCs w:val="28"/>
              </w:rPr>
            </w:pPr>
            <w:r>
              <w:rPr>
                <w:rFonts w:hint="eastAsia" w:ascii="宋体"/>
                <w:sz w:val="28"/>
                <w:szCs w:val="28"/>
              </w:rPr>
              <w:t>07</w:t>
            </w:r>
          </w:p>
        </w:tc>
        <w:tc>
          <w:tcPr>
            <w:tcW w:w="1984" w:type="dxa"/>
          </w:tcPr>
          <w:p>
            <w:pPr>
              <w:jc w:val="center"/>
              <w:rPr>
                <w:rFonts w:ascii="宋体"/>
                <w:sz w:val="28"/>
                <w:szCs w:val="28"/>
              </w:rPr>
            </w:pPr>
            <w:r>
              <w:rPr>
                <w:rFonts w:hint="eastAsia" w:ascii="宋体"/>
                <w:sz w:val="28"/>
                <w:szCs w:val="28"/>
              </w:rPr>
              <w:t>邵优儿</w:t>
            </w:r>
          </w:p>
        </w:tc>
        <w:tc>
          <w:tcPr>
            <w:tcW w:w="2127" w:type="dxa"/>
          </w:tcPr>
          <w:p>
            <w:pPr>
              <w:jc w:val="center"/>
              <w:rPr>
                <w:rFonts w:ascii="宋体"/>
                <w:sz w:val="28"/>
                <w:szCs w:val="28"/>
              </w:rPr>
            </w:pPr>
            <w:r>
              <w:rPr>
                <w:rFonts w:hint="eastAsia" w:ascii="宋体"/>
                <w:sz w:val="28"/>
                <w:szCs w:val="28"/>
              </w:rPr>
              <w:t>是</w:t>
            </w:r>
          </w:p>
        </w:tc>
        <w:tc>
          <w:tcPr>
            <w:tcW w:w="2885" w:type="dxa"/>
          </w:tcPr>
          <w:p>
            <w:pPr>
              <w:jc w:val="center"/>
              <w:rPr>
                <w:rFonts w:asci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5" w:hRule="atLeast"/>
        </w:trPr>
        <w:tc>
          <w:tcPr>
            <w:tcW w:w="1526" w:type="dxa"/>
          </w:tcPr>
          <w:p>
            <w:pPr>
              <w:jc w:val="center"/>
              <w:rPr>
                <w:rFonts w:ascii="宋体"/>
                <w:sz w:val="28"/>
                <w:szCs w:val="28"/>
              </w:rPr>
            </w:pPr>
            <w:r>
              <w:rPr>
                <w:rFonts w:hint="eastAsia" w:ascii="宋体"/>
                <w:sz w:val="28"/>
                <w:szCs w:val="28"/>
              </w:rPr>
              <w:t>08</w:t>
            </w:r>
          </w:p>
        </w:tc>
        <w:tc>
          <w:tcPr>
            <w:tcW w:w="1984" w:type="dxa"/>
          </w:tcPr>
          <w:p>
            <w:pPr>
              <w:jc w:val="center"/>
              <w:rPr>
                <w:rFonts w:ascii="宋体"/>
                <w:sz w:val="28"/>
                <w:szCs w:val="28"/>
              </w:rPr>
            </w:pPr>
            <w:r>
              <w:rPr>
                <w:rFonts w:hint="eastAsia" w:ascii="宋体"/>
                <w:sz w:val="28"/>
                <w:szCs w:val="28"/>
              </w:rPr>
              <w:t>周翠球</w:t>
            </w:r>
          </w:p>
        </w:tc>
        <w:tc>
          <w:tcPr>
            <w:tcW w:w="2127" w:type="dxa"/>
          </w:tcPr>
          <w:p>
            <w:pPr>
              <w:jc w:val="center"/>
              <w:rPr>
                <w:rFonts w:ascii="宋体"/>
                <w:sz w:val="28"/>
                <w:szCs w:val="28"/>
              </w:rPr>
            </w:pPr>
            <w:r>
              <w:rPr>
                <w:rFonts w:hint="eastAsia" w:ascii="宋体"/>
                <w:sz w:val="28"/>
                <w:szCs w:val="28"/>
              </w:rPr>
              <w:t>是</w:t>
            </w:r>
          </w:p>
        </w:tc>
        <w:tc>
          <w:tcPr>
            <w:tcW w:w="2885" w:type="dxa"/>
          </w:tcPr>
          <w:p>
            <w:pPr>
              <w:jc w:val="center"/>
              <w:rPr>
                <w:rFonts w:asci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0" w:hRule="atLeast"/>
        </w:trPr>
        <w:tc>
          <w:tcPr>
            <w:tcW w:w="1526" w:type="dxa"/>
          </w:tcPr>
          <w:p>
            <w:pPr>
              <w:jc w:val="center"/>
              <w:rPr>
                <w:rFonts w:ascii="宋体"/>
                <w:sz w:val="28"/>
                <w:szCs w:val="28"/>
              </w:rPr>
            </w:pPr>
            <w:r>
              <w:rPr>
                <w:rFonts w:hint="eastAsia" w:ascii="宋体"/>
                <w:sz w:val="28"/>
                <w:szCs w:val="28"/>
              </w:rPr>
              <w:t>09</w:t>
            </w:r>
          </w:p>
        </w:tc>
        <w:tc>
          <w:tcPr>
            <w:tcW w:w="1984" w:type="dxa"/>
          </w:tcPr>
          <w:p>
            <w:pPr>
              <w:jc w:val="center"/>
              <w:rPr>
                <w:rFonts w:ascii="宋体"/>
                <w:sz w:val="28"/>
                <w:szCs w:val="28"/>
              </w:rPr>
            </w:pPr>
            <w:r>
              <w:rPr>
                <w:rFonts w:hint="eastAsia" w:ascii="宋体"/>
                <w:sz w:val="28"/>
                <w:szCs w:val="28"/>
              </w:rPr>
              <w:t>任依娜</w:t>
            </w:r>
          </w:p>
        </w:tc>
        <w:tc>
          <w:tcPr>
            <w:tcW w:w="2127" w:type="dxa"/>
          </w:tcPr>
          <w:p>
            <w:pPr>
              <w:jc w:val="center"/>
              <w:rPr>
                <w:rFonts w:ascii="宋体"/>
                <w:sz w:val="28"/>
                <w:szCs w:val="28"/>
              </w:rPr>
            </w:pPr>
            <w:r>
              <w:rPr>
                <w:rFonts w:hint="eastAsia" w:ascii="宋体"/>
                <w:sz w:val="28"/>
                <w:szCs w:val="28"/>
              </w:rPr>
              <w:t>非</w:t>
            </w:r>
          </w:p>
        </w:tc>
        <w:tc>
          <w:tcPr>
            <w:tcW w:w="2885" w:type="dxa"/>
          </w:tcPr>
          <w:p>
            <w:pPr>
              <w:jc w:val="center"/>
              <w:rPr>
                <w:rFonts w:asci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526" w:type="dxa"/>
          </w:tcPr>
          <w:p>
            <w:pPr>
              <w:jc w:val="center"/>
              <w:rPr>
                <w:rFonts w:ascii="宋体"/>
                <w:sz w:val="28"/>
                <w:szCs w:val="28"/>
              </w:rPr>
            </w:pPr>
            <w:r>
              <w:rPr>
                <w:rFonts w:hint="eastAsia" w:ascii="宋体"/>
                <w:sz w:val="28"/>
                <w:szCs w:val="28"/>
              </w:rPr>
              <w:t>10</w:t>
            </w:r>
          </w:p>
        </w:tc>
        <w:tc>
          <w:tcPr>
            <w:tcW w:w="1984" w:type="dxa"/>
          </w:tcPr>
          <w:p>
            <w:pPr>
              <w:jc w:val="center"/>
              <w:rPr>
                <w:rFonts w:ascii="宋体"/>
                <w:sz w:val="28"/>
                <w:szCs w:val="28"/>
              </w:rPr>
            </w:pPr>
            <w:r>
              <w:rPr>
                <w:rFonts w:hint="eastAsia" w:ascii="宋体"/>
                <w:sz w:val="28"/>
                <w:szCs w:val="28"/>
              </w:rPr>
              <w:t>周妙妃</w:t>
            </w:r>
          </w:p>
        </w:tc>
        <w:tc>
          <w:tcPr>
            <w:tcW w:w="2127" w:type="dxa"/>
          </w:tcPr>
          <w:p>
            <w:pPr>
              <w:jc w:val="center"/>
              <w:rPr>
                <w:rFonts w:ascii="宋体"/>
                <w:sz w:val="28"/>
                <w:szCs w:val="28"/>
              </w:rPr>
            </w:pPr>
            <w:r>
              <w:rPr>
                <w:rFonts w:hint="eastAsia" w:ascii="宋体"/>
                <w:sz w:val="28"/>
                <w:szCs w:val="28"/>
              </w:rPr>
              <w:t>非</w:t>
            </w:r>
          </w:p>
        </w:tc>
        <w:tc>
          <w:tcPr>
            <w:tcW w:w="2885" w:type="dxa"/>
          </w:tcPr>
          <w:p>
            <w:pPr>
              <w:jc w:val="center"/>
              <w:rPr>
                <w:rFonts w:ascii="宋体"/>
                <w:b/>
                <w:sz w:val="28"/>
                <w:szCs w:val="28"/>
              </w:rPr>
            </w:pPr>
            <w:r>
              <w:rPr>
                <w:rFonts w:hint="eastAsia" w:ascii="宋体"/>
                <w:b/>
                <w:sz w:val="28"/>
                <w:szCs w:val="28"/>
              </w:rPr>
              <w:t>三年费用累加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trPr>
        <w:tc>
          <w:tcPr>
            <w:tcW w:w="1526" w:type="dxa"/>
          </w:tcPr>
          <w:p>
            <w:pPr>
              <w:jc w:val="center"/>
              <w:rPr>
                <w:rFonts w:ascii="宋体"/>
                <w:sz w:val="28"/>
                <w:szCs w:val="28"/>
              </w:rPr>
            </w:pPr>
          </w:p>
        </w:tc>
        <w:tc>
          <w:tcPr>
            <w:tcW w:w="1984" w:type="dxa"/>
          </w:tcPr>
          <w:p>
            <w:pPr>
              <w:jc w:val="center"/>
              <w:rPr>
                <w:rFonts w:ascii="宋体"/>
                <w:sz w:val="28"/>
                <w:szCs w:val="28"/>
              </w:rPr>
            </w:pPr>
          </w:p>
        </w:tc>
        <w:tc>
          <w:tcPr>
            <w:tcW w:w="2127" w:type="dxa"/>
          </w:tcPr>
          <w:p>
            <w:pPr>
              <w:jc w:val="center"/>
              <w:rPr>
                <w:rFonts w:ascii="宋体"/>
                <w:sz w:val="28"/>
                <w:szCs w:val="28"/>
              </w:rPr>
            </w:pPr>
          </w:p>
        </w:tc>
        <w:tc>
          <w:tcPr>
            <w:tcW w:w="2885" w:type="dxa"/>
          </w:tcPr>
          <w:p>
            <w:pPr>
              <w:jc w:val="center"/>
              <w:rPr>
                <w:rFonts w:ascii="宋体"/>
                <w:sz w:val="28"/>
                <w:szCs w:val="28"/>
              </w:rPr>
            </w:pPr>
          </w:p>
        </w:tc>
      </w:tr>
    </w:tbl>
    <w:p>
      <w:pPr>
        <w:rPr>
          <w:rFonts w:ascii="宋体"/>
          <w:b/>
          <w:sz w:val="28"/>
          <w:szCs w:val="28"/>
        </w:rPr>
      </w:pPr>
      <w:r>
        <w:rPr>
          <w:rFonts w:hint="eastAsia" w:ascii="宋体"/>
          <w:b/>
          <w:sz w:val="28"/>
          <w:szCs w:val="28"/>
        </w:rPr>
        <w:t>备注：</w:t>
      </w:r>
    </w:p>
    <w:p>
      <w:pPr>
        <w:rPr>
          <w:rFonts w:cs="仿宋_GB2312" w:asciiTheme="minorEastAsia" w:hAnsiTheme="minorEastAsia" w:eastAsiaTheme="minorEastAsia"/>
          <w:sz w:val="30"/>
          <w:szCs w:val="30"/>
        </w:rPr>
      </w:pPr>
      <w:r>
        <w:rPr>
          <w:rFonts w:hint="eastAsia" w:ascii="宋体"/>
          <w:sz w:val="28"/>
          <w:szCs w:val="28"/>
        </w:rPr>
        <w:t>1.序号01—09为二年费用累加，序号10的周妙妃为三年费用累加，</w:t>
      </w:r>
      <w:r>
        <w:rPr>
          <w:rFonts w:hint="eastAsia" w:cs="仿宋_GB2312" w:asciiTheme="minorEastAsia" w:hAnsiTheme="minorEastAsia" w:eastAsiaTheme="minorEastAsia"/>
          <w:sz w:val="30"/>
          <w:szCs w:val="30"/>
        </w:rPr>
        <w:t>超出部分由教职工个人承担；</w:t>
      </w:r>
    </w:p>
    <w:p>
      <w:pPr>
        <w:rPr>
          <w:rFonts w:asciiTheme="minorEastAsia" w:hAnsiTheme="minorEastAsia" w:eastAsiaTheme="minorEastAsia"/>
          <w:sz w:val="28"/>
          <w:szCs w:val="28"/>
        </w:rPr>
      </w:pPr>
      <w:r>
        <w:rPr>
          <w:rFonts w:hint="eastAsia" w:asciiTheme="minorEastAsia" w:hAnsiTheme="minorEastAsia" w:eastAsiaTheme="minorEastAsia"/>
          <w:sz w:val="28"/>
          <w:szCs w:val="28"/>
        </w:rPr>
        <w:t>2.非在编人员个人自负费用比例按学院相关规定执行。</w:t>
      </w:r>
    </w:p>
    <w:p>
      <w:pPr>
        <w:pStyle w:val="7"/>
        <w:spacing w:line="500" w:lineRule="exact"/>
        <w:rPr>
          <w:rFonts w:hint="eastAsia" w:ascii="华文仿宋" w:hAnsi="华文仿宋" w:eastAsia="华文仿宋" w:cs="仿宋_GB2312"/>
          <w:b/>
          <w:sz w:val="28"/>
          <w:szCs w:val="28"/>
          <w:lang w:val="en-US" w:eastAsia="zh-CN"/>
        </w:rPr>
      </w:pPr>
    </w:p>
    <w:sectPr>
      <w:pgSz w:w="11906" w:h="16838"/>
      <w:pgMar w:top="1440" w:right="1463" w:bottom="1440" w:left="146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5BCAFD2"/>
    <w:multiLevelType w:val="singleLevel"/>
    <w:tmpl w:val="E5BCAFD2"/>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C34782"/>
    <w:rsid w:val="0041400A"/>
    <w:rsid w:val="00416D0D"/>
    <w:rsid w:val="004219C8"/>
    <w:rsid w:val="0077421D"/>
    <w:rsid w:val="00891083"/>
    <w:rsid w:val="00936495"/>
    <w:rsid w:val="00A15440"/>
    <w:rsid w:val="00AA5BB9"/>
    <w:rsid w:val="00B25A35"/>
    <w:rsid w:val="00C01B64"/>
    <w:rsid w:val="00C34782"/>
    <w:rsid w:val="00D92F3A"/>
    <w:rsid w:val="28327A09"/>
    <w:rsid w:val="37156CA6"/>
    <w:rsid w:val="47CB27F0"/>
    <w:rsid w:val="4D84635F"/>
    <w:rsid w:val="6F9968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Date"/>
    <w:basedOn w:val="1"/>
    <w:next w:val="1"/>
    <w:link w:val="8"/>
    <w:semiHidden/>
    <w:unhideWhenUsed/>
    <w:qFormat/>
    <w:uiPriority w:val="99"/>
    <w:pPr>
      <w:ind w:left="100" w:leftChars="2500"/>
    </w:pPr>
  </w:style>
  <w:style w:type="paragraph" w:styleId="3">
    <w:name w:val="header"/>
    <w:basedOn w:val="1"/>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7">
    <w:name w:val="Default"/>
    <w:qFormat/>
    <w:uiPriority w:val="0"/>
    <w:pPr>
      <w:widowControl w:val="0"/>
      <w:autoSpaceDE w:val="0"/>
      <w:autoSpaceDN w:val="0"/>
      <w:adjustRightInd w:val="0"/>
    </w:pPr>
    <w:rPr>
      <w:rFonts w:ascii="方正小标宋简体" w:eastAsia="方正小标宋简体" w:cs="方正小标宋简体" w:hAnsiTheme="minorHAnsi"/>
      <w:color w:val="000000"/>
      <w:kern w:val="0"/>
      <w:sz w:val="24"/>
      <w:szCs w:val="24"/>
      <w:lang w:val="en-US" w:eastAsia="zh-CN" w:bidi="ar-SA"/>
    </w:rPr>
  </w:style>
  <w:style w:type="character" w:customStyle="1" w:styleId="8">
    <w:name w:val="日期 Char"/>
    <w:basedOn w:val="4"/>
    <w:link w:val="2"/>
    <w:semiHidden/>
    <w:uiPriority w:val="99"/>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3</Pages>
  <Words>212</Words>
  <Characters>1212</Characters>
  <Lines>10</Lines>
  <Paragraphs>2</Paragraphs>
  <TotalTime>11</TotalTime>
  <ScaleCrop>false</ScaleCrop>
  <LinksUpToDate>false</LinksUpToDate>
  <CharactersWithSpaces>1422</CharactersWithSpaces>
  <Application>WPS Office_11.1.0.7940_F1E327BC-269C-435d-A152-05C5408002CA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2019-03-18T02:02:00Z</dcterms:created>
  <dc:creator>dzgs</dc:creator>
  <cp:lastModifiedBy>云淡风清</cp:lastModifiedBy>
  <dcterms:modified xsi:type="dcterms:W3CDTF">2021-03-22T01:10:30Z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2052-11.1.0.7940</vt:lpwstr>
  </property>
</Properties>
</file>